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ind w:firstLine="0"/>
        <w:jc w:val="both"/>
        <w:rPr>
          <w:rFonts w:ascii="方正小标宋简体" w:hAnsi="方正小标宋简体" w:eastAsia="方正小标宋简体" w:cs="方正小标宋简体"/>
          <w:color w:val="auto"/>
          <w:spacing w:val="6"/>
          <w:kern w:val="2"/>
          <w:sz w:val="44"/>
          <w:szCs w:val="44"/>
          <w:lang w:eastAsia="zh-CN" w:bidi="ar-SA"/>
        </w:rPr>
      </w:pPr>
    </w:p>
    <w:p>
      <w:pPr>
        <w:widowControl w:val="0"/>
        <w:spacing w:line="600" w:lineRule="exact"/>
        <w:ind w:firstLine="0"/>
        <w:jc w:val="both"/>
        <w:rPr>
          <w:rFonts w:ascii="方正小标宋简体" w:hAnsi="方正小标宋简体" w:eastAsia="方正小标宋简体" w:cs="方正小标宋简体"/>
          <w:color w:val="auto"/>
          <w:spacing w:val="6"/>
          <w:kern w:val="2"/>
          <w:sz w:val="44"/>
          <w:szCs w:val="44"/>
          <w:lang w:eastAsia="zh-CN" w:bidi="ar-SA"/>
        </w:rPr>
      </w:pPr>
    </w:p>
    <w:p>
      <w:pPr>
        <w:widowControl w:val="0"/>
        <w:spacing w:line="600" w:lineRule="exact"/>
        <w:ind w:firstLine="0"/>
        <w:jc w:val="center"/>
        <w:rPr>
          <w:rFonts w:ascii="方正小标宋简体" w:hAnsi="方正小标宋简体" w:eastAsia="方正小标宋简体" w:cs="方正小标宋简体"/>
          <w:color w:val="auto"/>
          <w:spacing w:val="6"/>
          <w:kern w:val="2"/>
          <w:sz w:val="44"/>
          <w:szCs w:val="44"/>
          <w:lang w:eastAsia="zh-CN" w:bidi="ar-SA"/>
        </w:rPr>
      </w:pPr>
      <w:r>
        <w:rPr>
          <w:rFonts w:hint="eastAsia" w:ascii="方正小标宋简体" w:hAnsi="方正小标宋简体" w:eastAsia="方正小标宋简体" w:cs="方正小标宋简体"/>
          <w:color w:val="auto"/>
          <w:spacing w:val="6"/>
          <w:kern w:val="2"/>
          <w:sz w:val="44"/>
          <w:szCs w:val="44"/>
          <w:lang w:eastAsia="zh-CN" w:bidi="ar-SA"/>
        </w:rPr>
        <w:t>河南省道路运输驾驶员信用考核实施细则（试行）</w:t>
      </w:r>
    </w:p>
    <w:p>
      <w:pPr>
        <w:widowControl w:val="0"/>
        <w:spacing w:line="600" w:lineRule="exact"/>
        <w:ind w:firstLine="3165" w:firstLineChars="1021"/>
        <w:jc w:val="both"/>
        <w:rPr>
          <w:rFonts w:ascii="华文楷体" w:hAnsi="华文楷体" w:eastAsia="华文楷体" w:cs="华文楷体"/>
          <w:color w:val="auto"/>
          <w:kern w:val="2"/>
          <w:sz w:val="31"/>
          <w:szCs w:val="31"/>
          <w:lang w:eastAsia="zh-CN" w:bidi="ar-SA"/>
        </w:rPr>
      </w:pPr>
      <w:r>
        <w:rPr>
          <w:rFonts w:hint="eastAsia" w:ascii="华文楷体" w:hAnsi="华文楷体" w:eastAsia="华文楷体" w:cs="华文楷体"/>
          <w:color w:val="auto"/>
          <w:kern w:val="2"/>
          <w:sz w:val="31"/>
          <w:szCs w:val="31"/>
          <w:lang w:eastAsia="zh-CN" w:bidi="ar-SA"/>
        </w:rPr>
        <w:t>（征求意见稿）</w:t>
      </w:r>
    </w:p>
    <w:p>
      <w:pPr>
        <w:spacing w:line="600" w:lineRule="exact"/>
        <w:ind w:firstLine="0"/>
        <w:jc w:val="center"/>
        <w:textAlignment w:val="baseline"/>
        <w:rPr>
          <w:rFonts w:ascii="黑体" w:hAnsi="黑体" w:eastAsia="黑体" w:cs="宋体"/>
          <w:color w:val="auto"/>
          <w:sz w:val="32"/>
          <w:szCs w:val="32"/>
          <w:lang w:eastAsia="zh-CN" w:bidi="ar-SA"/>
        </w:rPr>
      </w:pPr>
    </w:p>
    <w:p>
      <w:pPr>
        <w:spacing w:line="600" w:lineRule="exact"/>
        <w:ind w:firstLine="0"/>
        <w:jc w:val="center"/>
        <w:textAlignment w:val="baseline"/>
        <w:rPr>
          <w:rFonts w:ascii="宋体" w:hAnsi="宋体" w:eastAsia="宋体" w:cs="宋体"/>
          <w:color w:val="auto"/>
          <w:sz w:val="24"/>
          <w:szCs w:val="24"/>
          <w:lang w:eastAsia="zh-CN" w:bidi="ar-SA"/>
        </w:rPr>
      </w:pPr>
      <w:r>
        <w:rPr>
          <w:rFonts w:hint="eastAsia" w:ascii="黑体" w:hAnsi="黑体" w:eastAsia="黑体" w:cs="宋体"/>
          <w:color w:val="auto"/>
          <w:sz w:val="32"/>
          <w:szCs w:val="32"/>
          <w:lang w:eastAsia="zh-CN" w:bidi="ar-SA"/>
        </w:rPr>
        <w:t>第一章 总则</w:t>
      </w:r>
    </w:p>
    <w:p>
      <w:pPr>
        <w:spacing w:line="600" w:lineRule="exact"/>
        <w:ind w:firstLine="642" w:firstLineChars="200"/>
        <w:textAlignment w:val="baseline"/>
        <w:rPr>
          <w:rFonts w:ascii="宋体" w:hAnsi="宋体" w:eastAsia="宋体" w:cs="宋体"/>
          <w:color w:val="auto"/>
          <w:sz w:val="32"/>
          <w:szCs w:val="32"/>
          <w:lang w:eastAsia="zh-CN" w:bidi="ar-SA"/>
        </w:rPr>
      </w:pPr>
      <w:r>
        <w:rPr>
          <w:rFonts w:hint="eastAsia" w:ascii="仿宋" w:hAnsi="仿宋" w:eastAsia="仿宋" w:cs="宋体"/>
          <w:b/>
          <w:bCs/>
          <w:color w:val="auto"/>
          <w:sz w:val="32"/>
          <w:szCs w:val="32"/>
          <w:lang w:eastAsia="zh-CN" w:bidi="ar-SA"/>
        </w:rPr>
        <w:t>第一条【目的依据】</w:t>
      </w:r>
      <w:r>
        <w:rPr>
          <w:rFonts w:hint="eastAsia" w:ascii="仿宋" w:hAnsi="仿宋" w:eastAsia="仿宋" w:cs="宋体"/>
          <w:color w:val="auto"/>
          <w:sz w:val="32"/>
          <w:szCs w:val="32"/>
          <w:lang w:eastAsia="zh-CN" w:bidi="ar-SA"/>
        </w:rPr>
        <w:t>为加强道路运输驾驶员动态监管，推进建立以信用为基础的新型监管机制，引导道路运输驾驶员依法经营，诚实信用，根据《中华人民共和国道路运输条例》《河南省道路运输管理条例》《河南省社会信用管理条例》、交通运输部《道路运输从业人员管理规定》《道路运输驾驶员诚信考核办法(试行)》等法律法规和有关要求，结合我省行业实际，制定本细则。</w:t>
      </w:r>
    </w:p>
    <w:p>
      <w:pPr>
        <w:spacing w:line="600" w:lineRule="exact"/>
        <w:ind w:firstLine="642" w:firstLineChars="200"/>
        <w:textAlignment w:val="baseline"/>
        <w:rPr>
          <w:rFonts w:ascii="宋体" w:hAnsi="宋体" w:eastAsia="宋体" w:cs="宋体"/>
          <w:color w:val="auto"/>
          <w:sz w:val="32"/>
          <w:szCs w:val="32"/>
          <w:lang w:eastAsia="zh-CN" w:bidi="ar-SA"/>
        </w:rPr>
      </w:pPr>
      <w:r>
        <w:rPr>
          <w:rFonts w:hint="eastAsia" w:ascii="仿宋" w:hAnsi="仿宋" w:eastAsia="仿宋" w:cs="宋体"/>
          <w:b/>
          <w:bCs/>
          <w:color w:val="auto"/>
          <w:sz w:val="32"/>
          <w:szCs w:val="32"/>
          <w:lang w:eastAsia="zh-CN" w:bidi="ar-SA"/>
        </w:rPr>
        <w:t>第二条【适用范围】</w:t>
      </w:r>
      <w:r>
        <w:rPr>
          <w:rFonts w:hint="eastAsia" w:ascii="仿宋" w:hAnsi="仿宋" w:eastAsia="仿宋" w:cs="宋体"/>
          <w:color w:val="auto"/>
          <w:sz w:val="32"/>
          <w:szCs w:val="32"/>
          <w:lang w:eastAsia="zh-CN" w:bidi="ar-SA"/>
        </w:rPr>
        <w:t>本省行政区域内开展道路运输驾驶员信用考核，适用本细则。</w:t>
      </w:r>
    </w:p>
    <w:p>
      <w:pPr>
        <w:spacing w:line="600" w:lineRule="exact"/>
        <w:ind w:firstLine="640" w:firstLineChars="200"/>
        <w:textAlignment w:val="baseline"/>
        <w:rPr>
          <w:rFonts w:ascii="宋体" w:hAnsi="宋体" w:eastAsia="宋体" w:cs="宋体"/>
          <w:color w:val="auto"/>
          <w:sz w:val="32"/>
          <w:szCs w:val="32"/>
          <w:lang w:eastAsia="zh-CN" w:bidi="ar-SA"/>
        </w:rPr>
      </w:pPr>
      <w:r>
        <w:rPr>
          <w:rFonts w:hint="eastAsia" w:ascii="仿宋" w:hAnsi="仿宋" w:eastAsia="仿宋" w:cs="宋体"/>
          <w:color w:val="auto"/>
          <w:sz w:val="32"/>
          <w:szCs w:val="32"/>
          <w:lang w:eastAsia="zh-CN" w:bidi="ar-SA"/>
        </w:rPr>
        <w:t>本细则所称的道路运输驾驶员（以下简称“驾驶员”），是指道路运输从业资格由我省归档管理的</w:t>
      </w:r>
      <w:r>
        <w:rPr>
          <w:rFonts w:hint="eastAsia" w:ascii="仿宋" w:hAnsi="仿宋" w:eastAsia="仿宋" w:cs="宋体"/>
          <w:b/>
          <w:bCs/>
          <w:color w:val="auto"/>
          <w:sz w:val="32"/>
          <w:szCs w:val="32"/>
          <w:lang w:eastAsia="zh-CN" w:bidi="ar-SA"/>
        </w:rPr>
        <w:t>经营性客货运输驾驶员和道路危险货物</w:t>
      </w:r>
      <w:r>
        <w:rPr>
          <w:rFonts w:hint="eastAsia" w:ascii="仿宋" w:hAnsi="仿宋" w:eastAsia="仿宋" w:cs="宋体"/>
          <w:color w:val="auto"/>
          <w:sz w:val="32"/>
          <w:szCs w:val="32"/>
          <w:lang w:eastAsia="zh-CN" w:bidi="ar-SA"/>
        </w:rPr>
        <w:t>运输驾驶员。</w:t>
      </w:r>
    </w:p>
    <w:p>
      <w:pPr>
        <w:spacing w:line="600" w:lineRule="exact"/>
        <w:ind w:firstLine="640" w:firstLineChars="200"/>
        <w:textAlignment w:val="baseline"/>
        <w:rPr>
          <w:rFonts w:ascii="宋体" w:hAnsi="宋体" w:eastAsia="宋体" w:cs="宋体"/>
          <w:color w:val="auto"/>
          <w:sz w:val="32"/>
          <w:szCs w:val="32"/>
          <w:lang w:eastAsia="zh-CN" w:bidi="ar-SA"/>
        </w:rPr>
      </w:pPr>
      <w:r>
        <w:rPr>
          <w:rFonts w:hint="eastAsia" w:ascii="仿宋" w:hAnsi="仿宋" w:eastAsia="仿宋" w:cs="宋体"/>
          <w:color w:val="auto"/>
          <w:sz w:val="32"/>
          <w:szCs w:val="32"/>
          <w:lang w:eastAsia="zh-CN" w:bidi="ar-SA"/>
        </w:rPr>
        <w:t>本细则所称的信用考核，是指对驾驶员在道路运输活动中的安全生产、遵守法规和服务质量等情况的综合评价。</w:t>
      </w:r>
    </w:p>
    <w:p>
      <w:pPr>
        <w:spacing w:line="600" w:lineRule="exact"/>
        <w:ind w:firstLine="642" w:firstLineChars="200"/>
        <w:textAlignment w:val="baseline"/>
        <w:rPr>
          <w:rFonts w:ascii="宋体" w:hAnsi="宋体" w:eastAsia="宋体" w:cs="宋体"/>
          <w:color w:val="auto"/>
          <w:sz w:val="32"/>
          <w:szCs w:val="32"/>
          <w:lang w:eastAsia="zh-CN" w:bidi="ar-SA"/>
        </w:rPr>
      </w:pPr>
      <w:r>
        <w:rPr>
          <w:rFonts w:hint="eastAsia" w:ascii="仿宋" w:hAnsi="仿宋" w:eastAsia="仿宋" w:cs="宋体"/>
          <w:b/>
          <w:bCs/>
          <w:color w:val="auto"/>
          <w:sz w:val="32"/>
          <w:szCs w:val="32"/>
          <w:lang w:eastAsia="zh-CN" w:bidi="ar-SA"/>
        </w:rPr>
        <w:t>第三条【工作原则】</w:t>
      </w:r>
      <w:r>
        <w:rPr>
          <w:rFonts w:hint="eastAsia" w:ascii="仿宋" w:hAnsi="仿宋" w:eastAsia="仿宋" w:cs="宋体"/>
          <w:color w:val="auto"/>
          <w:sz w:val="32"/>
          <w:szCs w:val="32"/>
          <w:lang w:eastAsia="zh-CN" w:bidi="ar-SA"/>
        </w:rPr>
        <w:t>信用考核工作应遵循公平、公正、公开和便民的原则。</w:t>
      </w:r>
    </w:p>
    <w:p>
      <w:pPr>
        <w:spacing w:line="600" w:lineRule="exact"/>
        <w:ind w:firstLine="642" w:firstLineChars="200"/>
        <w:textAlignment w:val="baseline"/>
        <w:rPr>
          <w:rFonts w:ascii="宋体" w:hAnsi="宋体" w:eastAsia="宋体" w:cs="宋体"/>
          <w:color w:val="auto"/>
          <w:sz w:val="32"/>
          <w:szCs w:val="32"/>
          <w:lang w:eastAsia="zh-CN" w:bidi="ar-SA"/>
        </w:rPr>
      </w:pPr>
      <w:r>
        <w:rPr>
          <w:rFonts w:hint="eastAsia" w:ascii="仿宋" w:hAnsi="仿宋" w:eastAsia="仿宋" w:cs="宋体"/>
          <w:b/>
          <w:bCs/>
          <w:color w:val="auto"/>
          <w:sz w:val="32"/>
          <w:szCs w:val="32"/>
          <w:lang w:eastAsia="zh-CN" w:bidi="ar-SA"/>
        </w:rPr>
        <w:t>第四条【职责分工】</w:t>
      </w:r>
      <w:r>
        <w:rPr>
          <w:rFonts w:hint="eastAsia" w:ascii="仿宋" w:hAnsi="仿宋" w:eastAsia="仿宋" w:cs="宋体"/>
          <w:color w:val="auto"/>
          <w:sz w:val="32"/>
          <w:szCs w:val="32"/>
          <w:lang w:eastAsia="zh-CN" w:bidi="ar-SA"/>
        </w:rPr>
        <w:t>省交通运输厅负责组织领导全省驾驶员信用考核工作。省运输事业发展中心负责组织实施全省驾驶员信用考核事务性工作。</w:t>
      </w:r>
    </w:p>
    <w:p>
      <w:pPr>
        <w:spacing w:line="600" w:lineRule="exact"/>
        <w:ind w:firstLine="640" w:firstLineChars="200"/>
        <w:textAlignment w:val="baseline"/>
        <w:rPr>
          <w:rFonts w:ascii="宋体" w:hAnsi="宋体" w:eastAsia="宋体" w:cs="宋体"/>
          <w:color w:val="auto"/>
          <w:sz w:val="32"/>
          <w:szCs w:val="32"/>
          <w:lang w:eastAsia="zh-CN" w:bidi="ar-SA"/>
        </w:rPr>
      </w:pPr>
      <w:r>
        <w:rPr>
          <w:rFonts w:hint="eastAsia" w:ascii="仿宋" w:hAnsi="仿宋" w:eastAsia="仿宋" w:cs="宋体"/>
          <w:color w:val="auto"/>
          <w:sz w:val="32"/>
          <w:szCs w:val="32"/>
          <w:lang w:eastAsia="zh-CN" w:bidi="ar-SA"/>
        </w:rPr>
        <w:t>各省辖市、济源示范区、各县（市）交通运输主管部门负责组织实施本行政区域内的驾驶员信用考核工作。道路运输管理（服务）机构承担驾驶员信用考核事务性工作。</w:t>
      </w:r>
    </w:p>
    <w:p>
      <w:pPr>
        <w:spacing w:line="600" w:lineRule="exact"/>
        <w:ind w:firstLine="642" w:firstLineChars="200"/>
        <w:jc w:val="both"/>
        <w:textAlignment w:val="baseline"/>
        <w:rPr>
          <w:rFonts w:ascii="宋体" w:hAnsi="宋体" w:eastAsia="宋体" w:cs="宋体"/>
          <w:color w:val="auto"/>
          <w:sz w:val="32"/>
          <w:szCs w:val="32"/>
          <w:lang w:eastAsia="zh-CN" w:bidi="ar-SA"/>
        </w:rPr>
      </w:pPr>
      <w:r>
        <w:rPr>
          <w:rFonts w:hint="eastAsia" w:ascii="仿宋" w:hAnsi="仿宋" w:eastAsia="仿宋" w:cs="宋体"/>
          <w:b/>
          <w:bCs/>
          <w:color w:val="auto"/>
          <w:sz w:val="32"/>
          <w:szCs w:val="32"/>
          <w:lang w:eastAsia="zh-CN" w:bidi="ar-SA"/>
        </w:rPr>
        <w:t>第五条【系统支撑】</w:t>
      </w:r>
      <w:r>
        <w:rPr>
          <w:rFonts w:hint="eastAsia" w:ascii="仿宋" w:hAnsi="仿宋" w:eastAsia="仿宋" w:cs="宋体"/>
          <w:color w:val="auto"/>
          <w:sz w:val="32"/>
          <w:szCs w:val="32"/>
          <w:lang w:eastAsia="zh-CN" w:bidi="ar-SA"/>
        </w:rPr>
        <w:t>省交通运输厅负责依托综合交通运输管理服务平台开发“信用信息管理模块”，通过自动汇集“公安交管部门业务系统”“交通执法系统”</w:t>
      </w:r>
      <w:r>
        <w:rPr>
          <w:rFonts w:hint="eastAsia" w:ascii="仿宋" w:hAnsi="仿宋" w:eastAsia="仿宋" w:cs="宋体"/>
          <w:b w:val="0"/>
          <w:bCs w:val="0"/>
          <w:color w:val="auto"/>
          <w:sz w:val="32"/>
          <w:szCs w:val="32"/>
          <w:lang w:eastAsia="zh-CN" w:bidi="ar-SA"/>
        </w:rPr>
        <w:t>“道路运输车辆卫星定位监控系统”</w:t>
      </w:r>
      <w:r>
        <w:rPr>
          <w:rFonts w:hint="eastAsia" w:ascii="仿宋" w:hAnsi="仿宋" w:eastAsia="仿宋" w:cs="宋体"/>
          <w:color w:val="auto"/>
          <w:sz w:val="32"/>
          <w:szCs w:val="32"/>
          <w:lang w:eastAsia="zh-CN" w:bidi="ar-SA"/>
        </w:rPr>
        <w:t>“运证信息网”“12328系统”等相关数据，采用信息化方式组织开展驾驶员信用考核，实现“电子建档、数据互联、系统归集、自动评价、闭环管理”。</w:t>
      </w:r>
    </w:p>
    <w:p>
      <w:pPr>
        <w:spacing w:line="600" w:lineRule="exact"/>
        <w:ind w:firstLine="0"/>
        <w:jc w:val="center"/>
        <w:textAlignment w:val="baseline"/>
        <w:rPr>
          <w:rFonts w:ascii="宋体" w:hAnsi="宋体" w:eastAsia="宋体" w:cs="宋体"/>
          <w:color w:val="auto"/>
          <w:sz w:val="24"/>
          <w:szCs w:val="24"/>
          <w:lang w:eastAsia="zh-CN" w:bidi="ar-SA"/>
        </w:rPr>
      </w:pPr>
      <w:r>
        <w:rPr>
          <w:rFonts w:hint="eastAsia" w:ascii="黑体" w:hAnsi="黑体" w:eastAsia="黑体" w:cs="宋体"/>
          <w:color w:val="auto"/>
          <w:sz w:val="32"/>
          <w:szCs w:val="32"/>
          <w:lang w:eastAsia="zh-CN" w:bidi="ar-SA"/>
        </w:rPr>
        <w:t xml:space="preserve">   第二章 信用信息归集</w:t>
      </w:r>
    </w:p>
    <w:p>
      <w:pPr>
        <w:spacing w:line="600" w:lineRule="exact"/>
        <w:ind w:firstLine="642" w:firstLineChars="200"/>
        <w:textAlignment w:val="baseline"/>
        <w:rPr>
          <w:rFonts w:ascii="仿宋" w:hAnsi="仿宋" w:eastAsia="仿宋" w:cs="宋体"/>
          <w:color w:val="auto"/>
          <w:sz w:val="32"/>
          <w:szCs w:val="32"/>
          <w:lang w:eastAsia="zh-CN" w:bidi="ar-SA"/>
        </w:rPr>
      </w:pPr>
      <w:r>
        <w:rPr>
          <w:rFonts w:hint="eastAsia" w:ascii="仿宋" w:hAnsi="仿宋" w:eastAsia="仿宋" w:cs="宋体"/>
          <w:b/>
          <w:bCs/>
          <w:color w:val="auto"/>
          <w:sz w:val="32"/>
          <w:szCs w:val="32"/>
          <w:lang w:eastAsia="zh-CN" w:bidi="ar-SA"/>
        </w:rPr>
        <w:t>第六条【信息内容】</w:t>
      </w:r>
      <w:r>
        <w:rPr>
          <w:rFonts w:hint="eastAsia" w:ascii="仿宋" w:hAnsi="仿宋" w:eastAsia="仿宋" w:cs="宋体"/>
          <w:color w:val="auto"/>
          <w:sz w:val="32"/>
          <w:szCs w:val="32"/>
          <w:lang w:eastAsia="zh-CN" w:bidi="ar-SA"/>
        </w:rPr>
        <w:t>信用信息包括驾驶员基本情况信息和从业活动相关信用信息。</w:t>
      </w:r>
    </w:p>
    <w:p>
      <w:pPr>
        <w:spacing w:line="600" w:lineRule="exact"/>
        <w:ind w:firstLine="640" w:firstLineChars="200"/>
        <w:textAlignment w:val="baseline"/>
        <w:rPr>
          <w:rFonts w:ascii="仿宋" w:hAnsi="仿宋" w:eastAsia="仿宋" w:cs="宋体"/>
          <w:color w:val="auto"/>
          <w:sz w:val="32"/>
          <w:szCs w:val="32"/>
          <w:lang w:eastAsia="zh-CN" w:bidi="ar-SA"/>
        </w:rPr>
      </w:pPr>
      <w:r>
        <w:rPr>
          <w:rFonts w:hint="eastAsia" w:ascii="仿宋" w:hAnsi="仿宋" w:eastAsia="仿宋" w:cs="宋体"/>
          <w:color w:val="auto"/>
          <w:sz w:val="32"/>
          <w:szCs w:val="32"/>
          <w:lang w:eastAsia="zh-CN" w:bidi="ar-SA"/>
        </w:rPr>
        <w:t>（一）基本情况信息包括：驾驶员姓名、性别、身份证号码、住址、联系电话、服务单位、准驾车型、从业资格类别、从业资格证件号码、从业资格证件初领日期、变更记录以及继续教育情况等。</w:t>
      </w:r>
    </w:p>
    <w:p>
      <w:pPr>
        <w:spacing w:line="600" w:lineRule="exact"/>
        <w:ind w:firstLine="640" w:firstLineChars="200"/>
        <w:textAlignment w:val="baseline"/>
        <w:rPr>
          <w:rFonts w:ascii="仿宋" w:hAnsi="仿宋" w:eastAsia="仿宋" w:cs="宋体"/>
          <w:color w:val="auto"/>
          <w:sz w:val="32"/>
          <w:szCs w:val="32"/>
          <w:lang w:eastAsia="zh-CN" w:bidi="ar-SA"/>
        </w:rPr>
      </w:pPr>
      <w:r>
        <w:rPr>
          <w:rFonts w:hint="eastAsia" w:ascii="仿宋" w:hAnsi="仿宋" w:eastAsia="仿宋" w:cs="宋体"/>
          <w:color w:val="auto"/>
          <w:sz w:val="32"/>
          <w:szCs w:val="32"/>
          <w:lang w:eastAsia="zh-CN" w:bidi="ar-SA"/>
        </w:rPr>
        <w:t>（二）从业活动信用信息包括：安全生产、经营行为、服务质量等方面信息。</w:t>
      </w:r>
    </w:p>
    <w:p>
      <w:pPr>
        <w:spacing w:line="600" w:lineRule="exact"/>
        <w:ind w:firstLine="640" w:firstLineChars="200"/>
        <w:textAlignment w:val="baseline"/>
        <w:rPr>
          <w:rFonts w:ascii="仿宋" w:hAnsi="仿宋" w:eastAsia="仿宋" w:cs="宋体"/>
          <w:color w:val="auto"/>
          <w:sz w:val="32"/>
          <w:szCs w:val="32"/>
          <w:lang w:eastAsia="zh-CN" w:bidi="ar-SA"/>
        </w:rPr>
      </w:pPr>
      <w:r>
        <w:rPr>
          <w:rFonts w:hint="eastAsia" w:ascii="仿宋" w:hAnsi="仿宋" w:eastAsia="仿宋" w:cs="宋体"/>
          <w:color w:val="auto"/>
          <w:sz w:val="32"/>
          <w:szCs w:val="32"/>
          <w:lang w:eastAsia="zh-CN" w:bidi="ar-SA"/>
        </w:rPr>
        <w:t>1.安全生产情况：主要是安全生产责任事故情况；</w:t>
      </w:r>
    </w:p>
    <w:p>
      <w:pPr>
        <w:spacing w:line="600" w:lineRule="exact"/>
        <w:ind w:firstLine="640" w:firstLineChars="200"/>
        <w:textAlignment w:val="baseline"/>
        <w:rPr>
          <w:rFonts w:ascii="仿宋" w:hAnsi="仿宋" w:eastAsia="仿宋" w:cs="宋体"/>
          <w:color w:val="auto"/>
          <w:sz w:val="32"/>
          <w:szCs w:val="32"/>
          <w:lang w:eastAsia="zh-CN" w:bidi="ar-SA"/>
        </w:rPr>
      </w:pPr>
      <w:r>
        <w:rPr>
          <w:rFonts w:hint="eastAsia" w:ascii="仿宋" w:hAnsi="仿宋" w:eastAsia="仿宋" w:cs="宋体"/>
          <w:color w:val="auto"/>
          <w:sz w:val="32"/>
          <w:szCs w:val="32"/>
          <w:lang w:eastAsia="zh-CN" w:bidi="ar-SA"/>
        </w:rPr>
        <w:t>2.遵守法规情况：主要是违反相关法律法规、规章规范的有关情况；</w:t>
      </w:r>
    </w:p>
    <w:p>
      <w:pPr>
        <w:spacing w:line="600" w:lineRule="exact"/>
        <w:ind w:firstLine="640" w:firstLineChars="200"/>
        <w:textAlignment w:val="baseline"/>
        <w:rPr>
          <w:rFonts w:ascii="仿宋" w:hAnsi="仿宋" w:eastAsia="仿宋" w:cs="宋体"/>
          <w:color w:val="auto"/>
          <w:sz w:val="32"/>
          <w:szCs w:val="32"/>
          <w:lang w:eastAsia="zh-CN" w:bidi="ar-SA"/>
        </w:rPr>
      </w:pPr>
      <w:r>
        <w:rPr>
          <w:rFonts w:hint="eastAsia" w:ascii="仿宋" w:hAnsi="仿宋" w:eastAsia="仿宋" w:cs="宋体"/>
          <w:color w:val="auto"/>
          <w:sz w:val="32"/>
          <w:szCs w:val="32"/>
          <w:lang w:eastAsia="zh-CN" w:bidi="ar-SA"/>
        </w:rPr>
        <w:t>3.服务质量情况：主要是服务质量事件和有责投诉的有关情况。</w:t>
      </w:r>
    </w:p>
    <w:p>
      <w:pPr>
        <w:spacing w:line="600" w:lineRule="exact"/>
        <w:ind w:firstLine="642" w:firstLineChars="200"/>
        <w:jc w:val="both"/>
        <w:textAlignment w:val="baseline"/>
        <w:rPr>
          <w:rFonts w:ascii="仿宋" w:hAnsi="仿宋" w:eastAsia="仿宋" w:cs="宋体"/>
          <w:color w:val="auto"/>
          <w:sz w:val="32"/>
          <w:szCs w:val="32"/>
          <w:lang w:eastAsia="zh-CN" w:bidi="ar-SA"/>
        </w:rPr>
      </w:pPr>
      <w:r>
        <w:rPr>
          <w:rFonts w:hint="eastAsia" w:ascii="仿宋" w:hAnsi="仿宋" w:eastAsia="仿宋" w:cs="宋体"/>
          <w:b/>
          <w:bCs/>
          <w:color w:val="auto"/>
          <w:sz w:val="32"/>
          <w:szCs w:val="32"/>
          <w:lang w:eastAsia="zh-CN" w:bidi="ar-SA"/>
        </w:rPr>
        <w:t>第七条【信用档案】</w:t>
      </w:r>
      <w:r>
        <w:rPr>
          <w:rFonts w:hint="eastAsia" w:ascii="仿宋" w:hAnsi="仿宋" w:eastAsia="仿宋" w:cs="宋体"/>
          <w:color w:val="auto"/>
          <w:sz w:val="32"/>
          <w:szCs w:val="32"/>
          <w:lang w:eastAsia="zh-CN" w:bidi="ar-SA"/>
        </w:rPr>
        <w:t>各省辖市、济源示范区、各县（市）交通运输主管部门负责建立本行政区域内驾驶员电子信用档案，并及时将驾驶员的相关信用信息和材料录入其信用档案。</w:t>
      </w:r>
    </w:p>
    <w:p>
      <w:pPr>
        <w:spacing w:line="600" w:lineRule="exact"/>
        <w:ind w:firstLine="640" w:firstLineChars="200"/>
        <w:textAlignment w:val="baseline"/>
        <w:rPr>
          <w:rFonts w:ascii="仿宋" w:hAnsi="仿宋" w:eastAsia="仿宋" w:cs="宋体"/>
          <w:color w:val="auto"/>
          <w:sz w:val="32"/>
          <w:szCs w:val="32"/>
          <w:lang w:eastAsia="zh-CN" w:bidi="ar-SA"/>
        </w:rPr>
      </w:pPr>
      <w:r>
        <w:rPr>
          <w:rFonts w:hint="eastAsia" w:ascii="仿宋" w:hAnsi="仿宋" w:eastAsia="仿宋" w:cs="宋体"/>
          <w:color w:val="auto"/>
          <w:sz w:val="32"/>
          <w:szCs w:val="32"/>
          <w:lang w:eastAsia="zh-CN" w:bidi="ar-SA"/>
        </w:rPr>
        <w:t>驾驶员基本情况信息保存至从业资格证件注销或撤销后3年；安全生产、遵守法规、服务质量等从业活动相关信用信息保存不少于3年。</w:t>
      </w:r>
    </w:p>
    <w:p>
      <w:pPr>
        <w:spacing w:line="600" w:lineRule="exact"/>
        <w:ind w:firstLine="640" w:firstLineChars="200"/>
        <w:jc w:val="both"/>
        <w:textAlignment w:val="baseline"/>
        <w:rPr>
          <w:rFonts w:ascii="仿宋" w:hAnsi="仿宋" w:eastAsia="仿宋" w:cs="宋体"/>
          <w:color w:val="auto"/>
          <w:sz w:val="32"/>
          <w:szCs w:val="32"/>
          <w:lang w:eastAsia="zh-CN" w:bidi="ar-SA"/>
        </w:rPr>
      </w:pPr>
      <w:r>
        <w:rPr>
          <w:rFonts w:hint="eastAsia" w:ascii="仿宋" w:hAnsi="仿宋" w:eastAsia="仿宋" w:cs="宋体"/>
          <w:color w:val="auto"/>
          <w:sz w:val="32"/>
          <w:szCs w:val="32"/>
          <w:lang w:eastAsia="zh-CN" w:bidi="ar-SA"/>
        </w:rPr>
        <w:t>道路运输经营者和驾驶员可通过“信用信息管理模块”查询驾驶员信用信息。</w:t>
      </w:r>
    </w:p>
    <w:p>
      <w:pPr>
        <w:spacing w:line="600" w:lineRule="exact"/>
        <w:ind w:firstLine="642" w:firstLineChars="200"/>
        <w:textAlignment w:val="baseline"/>
        <w:rPr>
          <w:rFonts w:ascii="仿宋" w:hAnsi="仿宋" w:eastAsia="仿宋" w:cs="宋体"/>
          <w:color w:val="auto"/>
          <w:sz w:val="32"/>
          <w:szCs w:val="32"/>
          <w:lang w:eastAsia="zh-CN" w:bidi="ar-SA"/>
        </w:rPr>
      </w:pPr>
      <w:r>
        <w:rPr>
          <w:rFonts w:hint="eastAsia" w:ascii="仿宋" w:hAnsi="仿宋" w:eastAsia="仿宋" w:cs="宋体"/>
          <w:b/>
          <w:color w:val="auto"/>
          <w:sz w:val="32"/>
          <w:szCs w:val="32"/>
          <w:lang w:eastAsia="zh-CN" w:bidi="ar-SA"/>
        </w:rPr>
        <w:t>第八条【采集途径】</w:t>
      </w:r>
      <w:r>
        <w:rPr>
          <w:rFonts w:hint="eastAsia" w:ascii="仿宋" w:hAnsi="仿宋" w:eastAsia="仿宋" w:cs="宋体"/>
          <w:color w:val="auto"/>
          <w:sz w:val="32"/>
          <w:szCs w:val="32"/>
          <w:lang w:eastAsia="zh-CN" w:bidi="ar-SA"/>
        </w:rPr>
        <w:t>信用信息应从以下途径采集：</w:t>
      </w:r>
    </w:p>
    <w:p>
      <w:pPr>
        <w:spacing w:line="600" w:lineRule="exact"/>
        <w:ind w:firstLine="640" w:firstLineChars="200"/>
        <w:textAlignment w:val="baseline"/>
        <w:rPr>
          <w:rFonts w:ascii="仿宋" w:hAnsi="仿宋" w:eastAsia="仿宋" w:cs="宋体"/>
          <w:color w:val="auto"/>
          <w:sz w:val="32"/>
          <w:szCs w:val="32"/>
          <w:lang w:eastAsia="zh-CN" w:bidi="ar-SA"/>
        </w:rPr>
      </w:pPr>
      <w:r>
        <w:rPr>
          <w:rFonts w:hint="eastAsia" w:ascii="仿宋" w:hAnsi="仿宋" w:eastAsia="仿宋" w:cs="宋体"/>
          <w:color w:val="auto"/>
          <w:sz w:val="32"/>
          <w:szCs w:val="32"/>
          <w:lang w:eastAsia="zh-CN" w:bidi="ar-SA"/>
        </w:rPr>
        <w:t>（一）政务服务管理部门在开展行政审批过程中获取的相关信息；</w:t>
      </w:r>
    </w:p>
    <w:p>
      <w:pPr>
        <w:spacing w:line="600" w:lineRule="exact"/>
        <w:ind w:firstLine="640" w:firstLineChars="200"/>
        <w:textAlignment w:val="baseline"/>
        <w:rPr>
          <w:rFonts w:ascii="仿宋" w:hAnsi="仿宋" w:eastAsia="仿宋" w:cs="宋体"/>
          <w:color w:val="auto"/>
          <w:sz w:val="32"/>
          <w:szCs w:val="32"/>
          <w:lang w:eastAsia="zh-CN" w:bidi="ar-SA"/>
        </w:rPr>
      </w:pPr>
      <w:r>
        <w:rPr>
          <w:rFonts w:hint="eastAsia" w:ascii="仿宋" w:hAnsi="仿宋" w:eastAsia="仿宋" w:cs="宋体"/>
          <w:color w:val="auto"/>
          <w:sz w:val="32"/>
          <w:szCs w:val="32"/>
          <w:lang w:eastAsia="zh-CN" w:bidi="ar-SA"/>
        </w:rPr>
        <w:t>（二）交通运输主管部门在行业监管过程中取得的现场检查数据、日常记录数据，以及并经核实的交通运输主管部门通报、行业协会组织公告、12328服务热线受理、有关媒体曝光的服务质量事件和有责投诉情况；</w:t>
      </w:r>
    </w:p>
    <w:p>
      <w:pPr>
        <w:spacing w:line="600" w:lineRule="exact"/>
        <w:ind w:firstLine="640" w:firstLineChars="200"/>
        <w:textAlignment w:val="baseline"/>
        <w:rPr>
          <w:rFonts w:ascii="仿宋" w:hAnsi="仿宋" w:eastAsia="仿宋" w:cs="宋体"/>
          <w:color w:val="auto"/>
          <w:sz w:val="32"/>
          <w:szCs w:val="32"/>
          <w:lang w:eastAsia="zh-CN" w:bidi="ar-SA"/>
        </w:rPr>
      </w:pPr>
      <w:r>
        <w:rPr>
          <w:rFonts w:hint="eastAsia" w:ascii="仿宋" w:hAnsi="仿宋" w:eastAsia="仿宋" w:cs="宋体"/>
          <w:color w:val="auto"/>
          <w:sz w:val="32"/>
          <w:szCs w:val="32"/>
          <w:lang w:eastAsia="zh-CN" w:bidi="ar-SA"/>
        </w:rPr>
        <w:t>（三）交通执法机构行政处罚信息，包括本行政区域内查处的和本行政区域外共享或者抄告的驾驶员违反道路运输相关法律法规的情况；</w:t>
      </w:r>
    </w:p>
    <w:p>
      <w:pPr>
        <w:spacing w:line="600" w:lineRule="exact"/>
        <w:ind w:firstLine="640" w:firstLineChars="200"/>
        <w:textAlignment w:val="baseline"/>
        <w:rPr>
          <w:rFonts w:ascii="仿宋" w:hAnsi="仿宋" w:eastAsia="仿宋" w:cs="宋体"/>
          <w:color w:val="auto"/>
          <w:sz w:val="32"/>
          <w:szCs w:val="32"/>
          <w:lang w:eastAsia="zh-CN" w:bidi="ar-SA"/>
        </w:rPr>
      </w:pPr>
      <w:r>
        <w:rPr>
          <w:rFonts w:hint="eastAsia" w:ascii="仿宋" w:hAnsi="仿宋" w:eastAsia="仿宋" w:cs="宋体"/>
          <w:color w:val="auto"/>
          <w:sz w:val="32"/>
          <w:szCs w:val="32"/>
          <w:lang w:eastAsia="zh-CN" w:bidi="ar-SA"/>
        </w:rPr>
        <w:t>（四）公安机关交通管理部门提供的道路交通违法行为、道路交通事故等信息；</w:t>
      </w:r>
    </w:p>
    <w:p>
      <w:pPr>
        <w:spacing w:line="600" w:lineRule="exact"/>
        <w:ind w:firstLine="640" w:firstLineChars="200"/>
        <w:textAlignment w:val="baseline"/>
        <w:rPr>
          <w:rFonts w:ascii="仿宋" w:hAnsi="仿宋" w:eastAsia="仿宋" w:cs="宋体"/>
          <w:color w:val="auto"/>
          <w:sz w:val="32"/>
          <w:szCs w:val="32"/>
          <w:lang w:eastAsia="zh-CN" w:bidi="ar-SA"/>
        </w:rPr>
      </w:pPr>
      <w:r>
        <w:rPr>
          <w:rFonts w:hint="eastAsia" w:ascii="仿宋" w:hAnsi="仿宋" w:eastAsia="仿宋" w:cs="宋体"/>
          <w:color w:val="auto"/>
          <w:sz w:val="32"/>
          <w:szCs w:val="32"/>
          <w:lang w:eastAsia="zh-CN" w:bidi="ar-SA"/>
        </w:rPr>
        <w:t>（五）交通监控视频资料、汽车行驶记录仪和重点营运车辆联网联控系统所记录的相关信息；</w:t>
      </w:r>
    </w:p>
    <w:p>
      <w:pPr>
        <w:spacing w:line="600" w:lineRule="exact"/>
        <w:ind w:firstLine="640" w:firstLineChars="200"/>
        <w:textAlignment w:val="baseline"/>
        <w:rPr>
          <w:rFonts w:ascii="仿宋" w:hAnsi="仿宋" w:eastAsia="仿宋" w:cs="宋体"/>
          <w:color w:val="auto"/>
          <w:sz w:val="32"/>
          <w:szCs w:val="32"/>
          <w:lang w:eastAsia="zh-CN" w:bidi="ar-SA"/>
        </w:rPr>
      </w:pPr>
      <w:r>
        <w:rPr>
          <w:rFonts w:hint="eastAsia" w:ascii="仿宋" w:hAnsi="仿宋" w:eastAsia="仿宋" w:cs="宋体"/>
          <w:color w:val="auto"/>
          <w:sz w:val="32"/>
          <w:szCs w:val="32"/>
          <w:lang w:eastAsia="zh-CN" w:bidi="ar-SA"/>
        </w:rPr>
        <w:t>（六）交通运输部数据资源共享平台信息等。</w:t>
      </w:r>
    </w:p>
    <w:p>
      <w:pPr>
        <w:spacing w:line="600" w:lineRule="exact"/>
        <w:ind w:firstLine="642" w:firstLineChars="200"/>
        <w:jc w:val="both"/>
        <w:textAlignment w:val="baseline"/>
        <w:rPr>
          <w:rFonts w:ascii="宋体" w:hAnsi="宋体" w:eastAsia="宋体" w:cs="宋体"/>
          <w:color w:val="auto"/>
          <w:sz w:val="32"/>
          <w:szCs w:val="32"/>
          <w:highlight w:val="yellow"/>
          <w:lang w:eastAsia="zh-CN" w:bidi="ar-SA"/>
        </w:rPr>
      </w:pPr>
      <w:r>
        <w:rPr>
          <w:rFonts w:hint="eastAsia" w:ascii="仿宋" w:hAnsi="仿宋" w:eastAsia="仿宋" w:cs="宋体"/>
          <w:b/>
          <w:bCs/>
          <w:color w:val="auto"/>
          <w:sz w:val="32"/>
          <w:szCs w:val="32"/>
          <w:lang w:eastAsia="zh-CN" w:bidi="ar-SA"/>
        </w:rPr>
        <w:t>第九条【信息归集】</w:t>
      </w:r>
      <w:r>
        <w:rPr>
          <w:rFonts w:hint="eastAsia" w:ascii="仿宋" w:hAnsi="仿宋" w:eastAsia="仿宋" w:cs="宋体"/>
          <w:color w:val="auto"/>
          <w:sz w:val="32"/>
          <w:szCs w:val="32"/>
          <w:lang w:eastAsia="zh-CN" w:bidi="ar-SA"/>
        </w:rPr>
        <w:t>信用信息归集应当遵循通过相关系统“自动获取、信息共享”的原则。</w:t>
      </w:r>
    </w:p>
    <w:p>
      <w:pPr>
        <w:spacing w:line="600" w:lineRule="exact"/>
        <w:ind w:firstLine="640" w:firstLineChars="200"/>
        <w:jc w:val="both"/>
        <w:textAlignment w:val="baseline"/>
        <w:rPr>
          <w:rFonts w:ascii="宋体" w:hAnsi="宋体" w:eastAsia="宋体" w:cs="宋体"/>
          <w:color w:val="auto"/>
          <w:sz w:val="32"/>
          <w:szCs w:val="32"/>
          <w:lang w:eastAsia="zh-CN" w:bidi="ar-SA"/>
        </w:rPr>
      </w:pPr>
      <w:r>
        <w:rPr>
          <w:rFonts w:hint="eastAsia" w:ascii="仿宋" w:hAnsi="仿宋" w:eastAsia="仿宋" w:cs="宋体"/>
          <w:color w:val="auto"/>
          <w:sz w:val="32"/>
          <w:szCs w:val="32"/>
          <w:lang w:eastAsia="zh-CN" w:bidi="ar-SA"/>
        </w:rPr>
        <w:t>根据信用档案记录需要，驾驶员基本情况信息、交通行政处罚信息、公安机关交通管理部门提供的道路交通违法行为和道路交通事故信息等，应通过</w:t>
      </w:r>
      <w:r>
        <w:rPr>
          <w:rFonts w:hint="eastAsia" w:ascii="仿宋" w:hAnsi="仿宋" w:eastAsia="仿宋" w:cs="宋体"/>
          <w:color w:val="auto"/>
          <w:sz w:val="32"/>
          <w:szCs w:val="32"/>
          <w:lang w:eastAsia="zh-CN"/>
        </w:rPr>
        <w:t>交通运输管理服务平台</w:t>
      </w:r>
      <w:r>
        <w:rPr>
          <w:rFonts w:hint="eastAsia" w:ascii="仿宋" w:hAnsi="仿宋" w:eastAsia="仿宋" w:cs="宋体"/>
          <w:color w:val="auto"/>
          <w:sz w:val="32"/>
          <w:szCs w:val="32"/>
          <w:lang w:eastAsia="zh-CN" w:bidi="ar-SA"/>
        </w:rPr>
        <w:t>与</w:t>
      </w:r>
      <w:r>
        <w:rPr>
          <w:rFonts w:hint="eastAsia" w:ascii="仿宋" w:hAnsi="仿宋" w:eastAsia="仿宋" w:cs="宋体"/>
          <w:color w:val="auto"/>
          <w:sz w:val="32"/>
          <w:szCs w:val="32"/>
          <w:lang w:eastAsia="zh-CN"/>
        </w:rPr>
        <w:t>相关业务管理信息系统对接，自动获取；</w:t>
      </w:r>
    </w:p>
    <w:p>
      <w:pPr>
        <w:spacing w:line="600" w:lineRule="exact"/>
        <w:ind w:firstLine="640" w:firstLineChars="200"/>
        <w:jc w:val="both"/>
        <w:textAlignment w:val="baseline"/>
        <w:rPr>
          <w:rFonts w:ascii="仿宋" w:hAnsi="仿宋" w:eastAsia="仿宋" w:cs="宋体"/>
          <w:color w:val="auto"/>
          <w:sz w:val="32"/>
          <w:szCs w:val="32"/>
          <w:lang w:eastAsia="zh-CN"/>
        </w:rPr>
      </w:pPr>
      <w:r>
        <w:rPr>
          <w:rFonts w:hint="eastAsia" w:ascii="仿宋" w:hAnsi="仿宋" w:eastAsia="仿宋" w:cs="宋体"/>
          <w:color w:val="auto"/>
          <w:sz w:val="32"/>
          <w:szCs w:val="32"/>
          <w:lang w:eastAsia="zh-CN" w:bidi="ar-SA"/>
        </w:rPr>
        <w:t>行业监管现场检查数据、日常记录数据，以及经核实的交通运输主管部门通报、行业协会组织公告、12328服务热线受理、有关媒体曝光的服务质量事件和有责投诉情况等，应由辖区交通运输主管部门负责在组织检查结束或下达处理决定之日起</w:t>
      </w:r>
      <w:r>
        <w:rPr>
          <w:rFonts w:hint="eastAsia" w:ascii="仿宋" w:hAnsi="仿宋" w:eastAsia="仿宋" w:cs="宋体"/>
          <w:b/>
          <w:bCs/>
          <w:color w:val="auto"/>
          <w:sz w:val="32"/>
          <w:szCs w:val="32"/>
          <w:lang w:eastAsia="zh-CN" w:bidi="ar-SA"/>
        </w:rPr>
        <w:t>3个工作日内通过</w:t>
      </w:r>
      <w:r>
        <w:rPr>
          <w:rFonts w:hint="eastAsia" w:ascii="仿宋" w:hAnsi="仿宋" w:eastAsia="仿宋" w:cs="宋体"/>
          <w:b/>
          <w:bCs/>
          <w:color w:val="auto"/>
          <w:sz w:val="32"/>
          <w:szCs w:val="32"/>
          <w:lang w:eastAsia="zh-CN"/>
        </w:rPr>
        <w:t>相关系统</w:t>
      </w:r>
      <w:r>
        <w:rPr>
          <w:rFonts w:hint="eastAsia" w:ascii="仿宋" w:hAnsi="仿宋" w:eastAsia="仿宋" w:cs="宋体"/>
          <w:color w:val="auto"/>
          <w:sz w:val="32"/>
          <w:szCs w:val="32"/>
          <w:lang w:eastAsia="zh-CN"/>
        </w:rPr>
        <w:t>汇集至交通运输管理服务平台；</w:t>
      </w:r>
    </w:p>
    <w:p>
      <w:pPr>
        <w:spacing w:line="600" w:lineRule="exact"/>
        <w:ind w:firstLine="640" w:firstLineChars="200"/>
        <w:jc w:val="both"/>
        <w:textAlignment w:val="baseline"/>
        <w:rPr>
          <w:rFonts w:ascii="仿宋" w:hAnsi="仿宋" w:eastAsia="仿宋" w:cs="宋体"/>
          <w:color w:val="auto"/>
          <w:sz w:val="32"/>
          <w:szCs w:val="32"/>
          <w:lang w:eastAsia="zh-CN" w:bidi="ar-SA"/>
        </w:rPr>
      </w:pPr>
      <w:r>
        <w:rPr>
          <w:rFonts w:hint="eastAsia" w:ascii="仿宋" w:hAnsi="仿宋" w:eastAsia="仿宋" w:cs="宋体"/>
          <w:color w:val="auto"/>
          <w:sz w:val="32"/>
          <w:szCs w:val="32"/>
          <w:lang w:eastAsia="zh-CN" w:bidi="ar-SA"/>
        </w:rPr>
        <w:t>本行政区域外共享或抄告的驾驶员违反道路运输相关法律法规情况，由交通执法机构通过交通执法系统归集获取。对于交通运输部和省级及以上部门统一发布或者通报的各类信息数据，由省运输事业发展中心负责归集共享；</w:t>
      </w:r>
    </w:p>
    <w:p>
      <w:pPr>
        <w:spacing w:line="600" w:lineRule="exact"/>
        <w:ind w:firstLine="640" w:firstLineChars="200"/>
        <w:jc w:val="both"/>
        <w:textAlignment w:val="baseline"/>
        <w:rPr>
          <w:rFonts w:ascii="宋体" w:hAnsi="宋体" w:eastAsia="宋体" w:cs="宋体"/>
          <w:b w:val="0"/>
          <w:bCs w:val="0"/>
          <w:color w:val="auto"/>
          <w:sz w:val="32"/>
          <w:szCs w:val="32"/>
          <w:lang w:eastAsia="zh-CN" w:bidi="ar-SA"/>
        </w:rPr>
      </w:pPr>
      <w:bookmarkStart w:id="0" w:name="_GoBack"/>
      <w:r>
        <w:rPr>
          <w:rFonts w:hint="eastAsia" w:ascii="仿宋" w:hAnsi="仿宋" w:eastAsia="仿宋" w:cs="宋体"/>
          <w:b w:val="0"/>
          <w:bCs w:val="0"/>
          <w:color w:val="auto"/>
          <w:sz w:val="32"/>
          <w:szCs w:val="32"/>
          <w:lang w:eastAsia="zh-CN" w:bidi="ar-SA"/>
        </w:rPr>
        <w:t>道路运输经营者应当主动配合辖区交通运输主管部门建立驾驶员信用档案，通过交通运输管理服务平台开发“信用信息管理模块”企业端口及时将所属驾驶员信用信息补充完善并及时更新，或者向辖区交通运输主管部门定期报送。</w:t>
      </w:r>
    </w:p>
    <w:bookmarkEnd w:id="0"/>
    <w:p>
      <w:pPr>
        <w:spacing w:line="600" w:lineRule="exact"/>
        <w:ind w:firstLine="642" w:firstLineChars="200"/>
        <w:textAlignment w:val="baseline"/>
        <w:rPr>
          <w:rFonts w:ascii="仿宋" w:hAnsi="仿宋" w:eastAsia="仿宋" w:cs="宋体"/>
          <w:color w:val="auto"/>
          <w:sz w:val="32"/>
          <w:szCs w:val="32"/>
          <w:lang w:eastAsia="zh-CN" w:bidi="ar-SA"/>
        </w:rPr>
      </w:pPr>
      <w:r>
        <w:rPr>
          <w:rFonts w:hint="eastAsia" w:ascii="仿宋" w:hAnsi="仿宋" w:eastAsia="仿宋" w:cs="宋体"/>
          <w:b/>
          <w:color w:val="auto"/>
          <w:sz w:val="32"/>
          <w:szCs w:val="32"/>
          <w:lang w:eastAsia="zh-CN" w:bidi="ar-SA"/>
        </w:rPr>
        <w:t>第十条【归集要求】</w:t>
      </w:r>
      <w:r>
        <w:rPr>
          <w:rFonts w:hint="eastAsia" w:ascii="仿宋" w:hAnsi="仿宋" w:eastAsia="仿宋" w:cs="宋体"/>
          <w:color w:val="auto"/>
          <w:sz w:val="32"/>
          <w:szCs w:val="32"/>
          <w:lang w:eastAsia="zh-CN" w:bidi="ar-SA"/>
        </w:rPr>
        <w:t>信用信息应当真实、客观，信息采集应当确保全面、准确、及时，实现全过程记录和可追溯。</w:t>
      </w:r>
    </w:p>
    <w:p>
      <w:pPr>
        <w:spacing w:line="600" w:lineRule="exact"/>
        <w:ind w:firstLine="640" w:firstLineChars="200"/>
        <w:textAlignment w:val="baseline"/>
        <w:rPr>
          <w:rFonts w:ascii="仿宋" w:hAnsi="仿宋" w:eastAsia="仿宋" w:cs="宋体"/>
          <w:color w:val="auto"/>
          <w:sz w:val="32"/>
          <w:szCs w:val="32"/>
          <w:lang w:eastAsia="zh-CN" w:bidi="ar-SA"/>
        </w:rPr>
      </w:pPr>
      <w:r>
        <w:rPr>
          <w:rFonts w:hint="eastAsia" w:ascii="仿宋" w:hAnsi="仿宋" w:eastAsia="仿宋" w:cs="宋体"/>
          <w:color w:val="auto"/>
          <w:sz w:val="32"/>
          <w:szCs w:val="32"/>
          <w:lang w:eastAsia="zh-CN" w:bidi="ar-SA"/>
        </w:rPr>
        <w:t>不具备法律效力的证据或者正在处理的涉及道路运输驾驶员违反道路运输法规的相关情况，不作为道路运输驾驶员信用归集的依据。</w:t>
      </w:r>
    </w:p>
    <w:p>
      <w:pPr>
        <w:spacing w:line="600" w:lineRule="exact"/>
        <w:ind w:firstLine="0"/>
        <w:jc w:val="center"/>
        <w:textAlignment w:val="baseline"/>
        <w:rPr>
          <w:rFonts w:ascii="宋体" w:hAnsi="宋体" w:eastAsia="宋体" w:cs="宋体"/>
          <w:color w:val="auto"/>
          <w:sz w:val="24"/>
          <w:szCs w:val="24"/>
          <w:lang w:eastAsia="zh-CN" w:bidi="ar-SA"/>
        </w:rPr>
      </w:pPr>
      <w:r>
        <w:rPr>
          <w:rFonts w:hint="eastAsia" w:ascii="黑体" w:hAnsi="黑体" w:eastAsia="黑体" w:cs="宋体"/>
          <w:color w:val="auto"/>
          <w:sz w:val="32"/>
          <w:szCs w:val="32"/>
          <w:lang w:eastAsia="zh-CN" w:bidi="ar-SA"/>
        </w:rPr>
        <w:t>第三章 信用等级与评定</w:t>
      </w:r>
    </w:p>
    <w:p>
      <w:pPr>
        <w:spacing w:line="600" w:lineRule="exact"/>
        <w:ind w:firstLine="642" w:firstLineChars="200"/>
        <w:jc w:val="both"/>
        <w:textAlignment w:val="baseline"/>
        <w:rPr>
          <w:rFonts w:ascii="宋体" w:hAnsi="宋体" w:eastAsia="宋体" w:cs="宋体"/>
          <w:color w:val="auto"/>
          <w:sz w:val="32"/>
          <w:szCs w:val="32"/>
          <w:lang w:eastAsia="zh-CN" w:bidi="ar-SA"/>
        </w:rPr>
      </w:pPr>
      <w:r>
        <w:rPr>
          <w:rFonts w:hint="eastAsia" w:ascii="仿宋" w:hAnsi="仿宋" w:eastAsia="仿宋" w:cs="宋体"/>
          <w:b/>
          <w:bCs/>
          <w:color w:val="auto"/>
          <w:sz w:val="32"/>
          <w:szCs w:val="32"/>
          <w:lang w:eastAsia="zh-CN" w:bidi="ar-SA"/>
        </w:rPr>
        <w:t>第十一条【信用等级】</w:t>
      </w:r>
      <w:r>
        <w:rPr>
          <w:rFonts w:hint="eastAsia" w:ascii="仿宋" w:hAnsi="仿宋" w:eastAsia="仿宋" w:cs="宋体"/>
          <w:color w:val="auto"/>
          <w:sz w:val="32"/>
          <w:szCs w:val="32"/>
          <w:shd w:val="clear" w:color="auto" w:fill="FFFFFF"/>
          <w:lang w:eastAsia="zh-CN" w:bidi="ar-SA"/>
        </w:rPr>
        <w:t>信用考核等级分为优良、合格、基本合格和不合格，分别用三星、二星、一星和不合格表示。</w:t>
      </w:r>
    </w:p>
    <w:p>
      <w:pPr>
        <w:spacing w:line="600" w:lineRule="exact"/>
        <w:ind w:firstLine="642" w:firstLineChars="200"/>
        <w:jc w:val="both"/>
        <w:textAlignment w:val="baseline"/>
        <w:rPr>
          <w:rFonts w:ascii="宋体" w:hAnsi="宋体" w:eastAsia="宋体" w:cs="宋体"/>
          <w:color w:val="auto"/>
          <w:sz w:val="32"/>
          <w:szCs w:val="32"/>
          <w:lang w:eastAsia="zh-CN" w:bidi="ar-SA"/>
        </w:rPr>
      </w:pPr>
      <w:r>
        <w:rPr>
          <w:rFonts w:hint="eastAsia" w:ascii="仿宋" w:hAnsi="仿宋" w:eastAsia="仿宋" w:cs="宋体"/>
          <w:b/>
          <w:bCs/>
          <w:color w:val="auto"/>
          <w:sz w:val="32"/>
          <w:szCs w:val="32"/>
          <w:lang w:eastAsia="zh-CN" w:bidi="ar-SA"/>
        </w:rPr>
        <w:t>第十二条【考核周期和分值】</w:t>
      </w:r>
      <w:r>
        <w:rPr>
          <w:rFonts w:hint="eastAsia" w:ascii="仿宋" w:hAnsi="仿宋" w:eastAsia="仿宋" w:cs="宋体"/>
          <w:color w:val="auto"/>
          <w:sz w:val="32"/>
          <w:szCs w:val="32"/>
          <w:lang w:eastAsia="zh-CN" w:bidi="ar-SA"/>
        </w:rPr>
        <w:t>信用考核实行计分制，考核周期为12个月，满分为20分，从驾驶员初次领取从业资格证件之日起计算。一个考核周期届满，经确定信用考核等级后，该考核周期内的计分予以清除，不转入下一个考核周期。</w:t>
      </w:r>
    </w:p>
    <w:p>
      <w:pPr>
        <w:spacing w:line="600" w:lineRule="exact"/>
        <w:ind w:firstLine="640" w:firstLineChars="200"/>
        <w:jc w:val="both"/>
        <w:textAlignment w:val="baseline"/>
        <w:rPr>
          <w:rFonts w:ascii="宋体" w:hAnsi="宋体" w:eastAsia="宋体" w:cs="宋体"/>
          <w:color w:val="auto"/>
          <w:sz w:val="32"/>
          <w:szCs w:val="32"/>
          <w:lang w:eastAsia="zh-CN" w:bidi="ar-SA"/>
        </w:rPr>
      </w:pPr>
      <w:r>
        <w:rPr>
          <w:rFonts w:hint="eastAsia" w:ascii="仿宋" w:hAnsi="仿宋" w:eastAsia="仿宋" w:cs="宋体"/>
          <w:color w:val="auto"/>
          <w:sz w:val="32"/>
          <w:szCs w:val="32"/>
          <w:lang w:eastAsia="zh-CN" w:bidi="ar-SA"/>
        </w:rPr>
        <w:t>根据驾驶员违反信用考核指标的情况，一次计分的分值分别为：20分、10分、5分、3分、1分五种。计分标准见附件。</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第十三条【计分管理】</w:t>
      </w:r>
      <w:r>
        <w:rPr>
          <w:rFonts w:hint="eastAsia" w:ascii="仿宋" w:hAnsi="仿宋" w:eastAsia="仿宋" w:cs="宋体"/>
          <w:bCs/>
          <w:color w:val="auto"/>
          <w:sz w:val="32"/>
          <w:szCs w:val="32"/>
          <w:lang w:eastAsia="zh-CN" w:bidi="ar-SA"/>
        </w:rPr>
        <w:t>对驾驶员的道路运输违法行为，行政处罚与计分同时执行。</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驾驶员一次有两个以上违法行为的，计分时应当分别计算，累加分值。驾驶员同一违法行为同时符合两个以上计分情形的，按照较重情形予以计分。</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第十四条【划分标准】</w:t>
      </w:r>
      <w:r>
        <w:rPr>
          <w:rFonts w:hint="eastAsia" w:ascii="仿宋" w:hAnsi="仿宋" w:eastAsia="仿宋" w:cs="宋体"/>
          <w:bCs/>
          <w:color w:val="auto"/>
          <w:sz w:val="32"/>
          <w:szCs w:val="32"/>
          <w:lang w:eastAsia="zh-CN" w:bidi="ar-SA"/>
        </w:rPr>
        <w:t>信用考核等级，按照下列标准进行评定：</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（一）驾驶员同时具备以下条件的，信用考核等级为三星：</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1.上一考核周期的信用考核等级为二星及以上；</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2.考核周期内累计计分分值为0分。</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（二）驾驶员同时具备以下条件的，信用考核等级为二星：</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1.未达到三星的考核条件；</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2.上一考核周期的信用考核等级为一星及以上；</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3.考核周期内累计计分分值未达到10分。</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（三）驾驶员同时具备以下条件的，信用考核等级为一星：</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1.未达到二星的考核条件；</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2.考核周期内累计计分分值未达到20分。</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（四）驾驶员考核周期内累计计分有20分及以上记录的，信用考核等级为不合格。</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（五）新取得道路运输从业资格证件或者初次参加信用考核的驾驶员，其信用考核初始等级为一星。</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第十五条【严重失信行为】</w:t>
      </w:r>
      <w:r>
        <w:rPr>
          <w:rFonts w:hint="eastAsia" w:ascii="仿宋" w:hAnsi="仿宋" w:eastAsia="仿宋" w:cs="宋体"/>
          <w:bCs/>
          <w:color w:val="auto"/>
          <w:sz w:val="32"/>
          <w:szCs w:val="32"/>
          <w:lang w:eastAsia="zh-CN" w:bidi="ar-SA"/>
        </w:rPr>
        <w:t>凡发生以下行为之一的，认定为严重失信行为，本次考核周期信用等级直接评定为不合格：</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（一）提供虚假材料，隐瞒有关情况，或者以欺骗、贿赂等不正当手段取得从业资格的；</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（二）组织煽动从业人员上访、罢运、闹事，引发群体性事件造成恶劣影响的；</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（三）因堵塞交通、强行冲卡、暴力抗法、破坏相关设施设备，被公安机关依法给予行政处罚或者被追究刑事责任的；</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（四）发生重大及以上运输安全生产、服务质量、环境污染责任事故，且负主要责任的；</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（五）发现重大事故隐患，不立即采取措施，继续作业的；</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（六）其他严重违反法律法规规定的失信行为。</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第十六条【计分告知】</w:t>
      </w:r>
      <w:r>
        <w:rPr>
          <w:rFonts w:hint="eastAsia" w:ascii="仿宋" w:hAnsi="仿宋" w:eastAsia="仿宋" w:cs="宋体"/>
          <w:bCs/>
          <w:color w:val="auto"/>
          <w:sz w:val="32"/>
          <w:szCs w:val="32"/>
          <w:lang w:eastAsia="zh-CN" w:bidi="ar-SA"/>
        </w:rPr>
        <w:t>在一个考核周期内，“信用信息管理模块”根据归集的信用信息，即时自动完成计分。产生计分时，推送交通运输部互联网道路运输便民服务平台、信用交通·河南”网站向社会公示，并向驾驶员自动发送短信告知。告知内容包括计分情况、累计计分情况以及继续教育、法律后果提示。</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第十七条【等级公示】</w:t>
      </w:r>
      <w:r>
        <w:rPr>
          <w:rFonts w:hint="eastAsia" w:ascii="仿宋" w:hAnsi="仿宋" w:eastAsia="仿宋" w:cs="宋体"/>
          <w:bCs/>
          <w:color w:val="auto"/>
          <w:sz w:val="32"/>
          <w:szCs w:val="32"/>
          <w:lang w:eastAsia="zh-CN" w:bidi="ar-SA"/>
        </w:rPr>
        <w:t>一个考核周期届满后20个工作日内，“信用信息管理模块”将根据计分情况及相关证明材料等确定信用考核等级，经辖区交通运输主管部门确定后，推送交通运输部互联网道路运输便民服务平台、“信用交通·河南”网站向社会公示，公示期不少于5个工作日，并向驾驶员自动发送短信告知。</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信用考核周期内，发生重大以上道路交通事故尚未有责任认定结论的，辖区交通运输主管部门应当待事故责任明确后，评定信用考核等级。</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第十八条【异议处理】</w:t>
      </w:r>
      <w:r>
        <w:rPr>
          <w:rFonts w:hint="eastAsia" w:ascii="仿宋" w:hAnsi="仿宋" w:eastAsia="仿宋" w:cs="宋体"/>
          <w:bCs/>
          <w:color w:val="auto"/>
          <w:sz w:val="32"/>
          <w:szCs w:val="32"/>
          <w:lang w:eastAsia="zh-CN" w:bidi="ar-SA"/>
        </w:rPr>
        <w:t>驾驶员或者其他单位、个人对已公布的信用考核计分、等级初评结果有异议的，公示期内可通过“信用交通·河南”网站或向辖区交通运输主管部门进行书面举报或举证，并提供相关证明材料。</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对于异议事项，辖区交通运输主管部门应在15个工作日内完成调查核实，做出更正或者不予更正的决定，处理结果书面反馈申请人，同时存入驾驶员信用档案。</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“信用信息管理模块”根据初评公示后修正的数据自动整理、汇总信用信息，根据相应的考核指标和评价标准自动计分，生成最终考核等级并推送交通运输部互联网道路运输便民服务平台。</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第十九条【便民服务】</w:t>
      </w:r>
      <w:r>
        <w:rPr>
          <w:rFonts w:hint="eastAsia" w:ascii="仿宋" w:hAnsi="仿宋" w:eastAsia="仿宋" w:cs="宋体"/>
          <w:bCs/>
          <w:color w:val="auto"/>
          <w:sz w:val="32"/>
          <w:szCs w:val="32"/>
          <w:lang w:eastAsia="zh-CN" w:bidi="ar-SA"/>
        </w:rPr>
        <w:t>省交通运输厅应当依托“信用信息管理模块”，积极推进落实驾驶员结果查询、下载打印等便民服务措施。</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驾驶员可通过交通运输部互联网道路运输便民服务平台、“信用交通·河南”网站、道路运输从业资格电子证照二维码等方式自助查询、下载打印记分情况及等级评定结果。</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现场查询的，驾驶员可就近到本省任一交通政务服务窗口申请查询、打印。</w:t>
      </w:r>
    </w:p>
    <w:p>
      <w:pPr>
        <w:spacing w:line="600" w:lineRule="exact"/>
        <w:ind w:firstLine="0"/>
        <w:jc w:val="center"/>
        <w:textAlignment w:val="baseline"/>
        <w:rPr>
          <w:rFonts w:ascii="宋体" w:hAnsi="宋体" w:eastAsia="宋体" w:cs="宋体"/>
          <w:color w:val="auto"/>
          <w:sz w:val="24"/>
          <w:szCs w:val="24"/>
          <w:lang w:eastAsia="zh-CN" w:bidi="ar-SA"/>
        </w:rPr>
      </w:pPr>
      <w:r>
        <w:rPr>
          <w:rFonts w:hint="eastAsia" w:ascii="黑体" w:hAnsi="黑体" w:eastAsia="黑体" w:cs="宋体"/>
          <w:color w:val="auto"/>
          <w:sz w:val="32"/>
          <w:szCs w:val="32"/>
          <w:lang w:eastAsia="zh-CN" w:bidi="ar-SA"/>
        </w:rPr>
        <w:t>第四章 信用修复</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第二十条【修复机制】</w:t>
      </w:r>
      <w:r>
        <w:rPr>
          <w:rFonts w:hint="eastAsia" w:ascii="仿宋" w:hAnsi="仿宋" w:eastAsia="仿宋" w:cs="宋体"/>
          <w:bCs/>
          <w:color w:val="auto"/>
          <w:sz w:val="32"/>
          <w:szCs w:val="32"/>
          <w:lang w:eastAsia="zh-CN" w:bidi="ar-SA"/>
        </w:rPr>
        <w:t>各级交通运输主管部门应当建立信用修复机制，鼓励失信驾驶员修复信用。</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第二十一条【信用修复】</w:t>
      </w:r>
      <w:r>
        <w:rPr>
          <w:rFonts w:hint="eastAsia" w:ascii="仿宋" w:hAnsi="仿宋" w:eastAsia="仿宋" w:cs="宋体"/>
          <w:bCs/>
          <w:color w:val="auto"/>
          <w:sz w:val="32"/>
          <w:szCs w:val="32"/>
          <w:lang w:eastAsia="zh-CN" w:bidi="ar-SA"/>
        </w:rPr>
        <w:t>驾驶员申请行政处罚信息和严重失信行为信息信用修复按照《“信用中国”网站行政处罚信息信用修复指南》《河南省公共信用信息修复管理办法》《交通运输守信联合激励和失信联合惩戒对象名单管理办法（试行）》（交政研发〔2018〕181号）规定执行。</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上级交通运输主管部门要对下级交通运输主管部门作出的信用修复情况进行抽查。</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第二十二条【撤销修复】</w:t>
      </w:r>
      <w:r>
        <w:rPr>
          <w:rFonts w:hint="eastAsia" w:ascii="仿宋" w:hAnsi="仿宋" w:eastAsia="仿宋" w:cs="宋体"/>
          <w:b/>
          <w:color w:val="auto"/>
          <w:sz w:val="32"/>
          <w:szCs w:val="32"/>
          <w:lang w:eastAsia="zh-CN" w:bidi="ar-SA"/>
        </w:rPr>
        <w:t>各级</w:t>
      </w:r>
      <w:r>
        <w:rPr>
          <w:rFonts w:hint="eastAsia" w:ascii="仿宋" w:hAnsi="仿宋" w:eastAsia="仿宋" w:cs="宋体"/>
          <w:bCs/>
          <w:color w:val="auto"/>
          <w:sz w:val="32"/>
          <w:szCs w:val="32"/>
          <w:lang w:eastAsia="zh-CN" w:bidi="ar-SA"/>
        </w:rPr>
        <w:t>交通运输主管部门对驾驶员以欺骗、伪造、变造等手段申请信用修复的，应当依法依规查处，并将处理结果纳入信用档案。已完成信用修复的，予以撤销修复。</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第二十三条【处罚变更】</w:t>
      </w:r>
      <w:r>
        <w:rPr>
          <w:rFonts w:hint="eastAsia" w:ascii="仿宋" w:hAnsi="仿宋" w:eastAsia="仿宋" w:cs="宋体"/>
          <w:bCs/>
          <w:color w:val="auto"/>
          <w:sz w:val="32"/>
          <w:szCs w:val="32"/>
          <w:lang w:eastAsia="zh-CN" w:bidi="ar-SA"/>
        </w:rPr>
        <w:t>驾驶员对道路运输违法行为处罚不服，申请行政复议或者提起行政诉讼后，经依法裁决变更或者撤销原处罚决定的，相应计分分值予以变更或者撤销，相应的信用考核等级按规定予以调整。</w:t>
      </w:r>
    </w:p>
    <w:p>
      <w:pPr>
        <w:spacing w:line="600" w:lineRule="exact"/>
        <w:ind w:firstLine="0"/>
        <w:jc w:val="center"/>
        <w:textAlignment w:val="baseline"/>
        <w:rPr>
          <w:rFonts w:ascii="黑体" w:hAnsi="黑体" w:eastAsia="黑体" w:cs="宋体"/>
          <w:color w:val="auto"/>
          <w:sz w:val="32"/>
          <w:szCs w:val="32"/>
          <w:lang w:eastAsia="zh-CN" w:bidi="ar-SA"/>
        </w:rPr>
      </w:pPr>
      <w:r>
        <w:rPr>
          <w:rFonts w:hint="eastAsia" w:ascii="黑体" w:hAnsi="黑体" w:eastAsia="黑体" w:cs="宋体"/>
          <w:color w:val="auto"/>
          <w:sz w:val="32"/>
          <w:szCs w:val="32"/>
          <w:lang w:eastAsia="zh-CN" w:bidi="ar-SA"/>
        </w:rPr>
        <w:t>第五章 结果应用</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第二十四条【分级分类监管】</w:t>
      </w:r>
      <w:r>
        <w:rPr>
          <w:rFonts w:hint="eastAsia" w:ascii="仿宋" w:hAnsi="仿宋" w:eastAsia="仿宋" w:cs="宋体"/>
          <w:bCs/>
          <w:color w:val="auto"/>
          <w:sz w:val="32"/>
          <w:szCs w:val="32"/>
          <w:lang w:eastAsia="zh-CN" w:bidi="ar-SA"/>
        </w:rPr>
        <w:t>信用考核等级结果是加强行业监管的重要依据。交通运输主管部门所属各职能部门（机构）在行政管理过程中应当主动查询使用驾驶员信用信息，根据不同的信用等级，对驾驶员及所在企业采取差异化监管措施。</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第二十五条【驾驶员激励】</w:t>
      </w:r>
      <w:r>
        <w:rPr>
          <w:rFonts w:hint="eastAsia" w:ascii="仿宋" w:hAnsi="仿宋" w:eastAsia="仿宋" w:cs="宋体"/>
          <w:bCs/>
          <w:color w:val="auto"/>
          <w:sz w:val="32"/>
          <w:szCs w:val="32"/>
          <w:lang w:eastAsia="zh-CN" w:bidi="ar-SA"/>
        </w:rPr>
        <w:t>对信用考核等级为三星的驾驶</w:t>
      </w:r>
      <w:r>
        <w:rPr>
          <w:rFonts w:hint="eastAsia" w:ascii="仿宋" w:hAnsi="仿宋" w:eastAsia="仿宋" w:cs="宋体"/>
          <w:color w:val="auto"/>
          <w:sz w:val="32"/>
          <w:szCs w:val="32"/>
          <w:lang w:eastAsia="zh-CN"/>
        </w:rPr>
        <w:t>员给予如下激励措施：</w:t>
      </w:r>
    </w:p>
    <w:p>
      <w:pPr>
        <w:spacing w:line="600" w:lineRule="exact"/>
        <w:ind w:firstLine="640" w:firstLineChars="200"/>
        <w:jc w:val="both"/>
        <w:textAlignment w:val="baseline"/>
        <w:rPr>
          <w:rFonts w:hint="eastAsia"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（一）【</w:t>
      </w:r>
      <w:r>
        <w:rPr>
          <w:rFonts w:hint="eastAsia" w:ascii="仿宋" w:hAnsi="仿宋" w:eastAsia="仿宋" w:cs="宋体"/>
          <w:b/>
          <w:bCs/>
          <w:color w:val="auto"/>
          <w:sz w:val="32"/>
          <w:szCs w:val="32"/>
          <w:lang w:eastAsia="zh-CN" w:bidi="ar-SA"/>
        </w:rPr>
        <w:t>优先聘用】</w:t>
      </w:r>
      <w:r>
        <w:rPr>
          <w:rFonts w:hint="eastAsia" w:ascii="仿宋" w:hAnsi="仿宋" w:eastAsia="仿宋" w:cs="宋体"/>
          <w:bCs/>
          <w:color w:val="auto"/>
          <w:sz w:val="32"/>
          <w:szCs w:val="32"/>
          <w:lang w:eastAsia="zh-CN" w:bidi="ar-SA"/>
        </w:rPr>
        <w:t xml:space="preserve">鼓励经营者优先聘用信用等级高的从业人员，将其薪资待遇、晋升、培训、表彰、奖励与信用状况相结合； </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（二）【</w:t>
      </w:r>
      <w:r>
        <w:rPr>
          <w:rFonts w:hint="eastAsia" w:ascii="仿宋" w:hAnsi="仿宋" w:eastAsia="仿宋" w:cs="宋体"/>
          <w:b/>
          <w:bCs w:val="0"/>
          <w:color w:val="auto"/>
          <w:sz w:val="32"/>
          <w:szCs w:val="32"/>
          <w:lang w:eastAsia="zh-CN" w:bidi="ar-SA"/>
        </w:rPr>
        <w:t>优先评优</w:t>
      </w:r>
      <w:r>
        <w:rPr>
          <w:rFonts w:hint="eastAsia" w:ascii="仿宋" w:hAnsi="仿宋" w:eastAsia="仿宋" w:cs="宋体"/>
          <w:bCs/>
          <w:color w:val="auto"/>
          <w:sz w:val="32"/>
          <w:szCs w:val="32"/>
          <w:lang w:eastAsia="zh-CN" w:bidi="ar-SA"/>
        </w:rPr>
        <w:t>】在行业相关荣誉表彰、评优评先时予以优先考虑，并</w:t>
      </w:r>
      <w:r>
        <w:rPr>
          <w:rFonts w:hint="eastAsia" w:ascii="仿宋" w:hAnsi="仿宋" w:eastAsia="仿宋" w:cs="宋体"/>
          <w:bCs/>
          <w:color w:val="auto"/>
          <w:sz w:val="32"/>
          <w:szCs w:val="32"/>
          <w:lang w:val="en" w:eastAsia="zh-CN" w:bidi="ar-SA"/>
        </w:rPr>
        <w:t>给与精神奖励、物质奖励</w:t>
      </w:r>
      <w:r>
        <w:rPr>
          <w:rFonts w:hint="eastAsia" w:ascii="仿宋" w:hAnsi="仿宋" w:eastAsia="仿宋" w:cs="宋体"/>
          <w:bCs/>
          <w:color w:val="auto"/>
          <w:sz w:val="32"/>
          <w:szCs w:val="32"/>
          <w:lang w:eastAsia="zh-CN" w:bidi="ar-SA"/>
        </w:rPr>
        <w:t>；</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（三）【</w:t>
      </w:r>
      <w:r>
        <w:rPr>
          <w:rFonts w:hint="eastAsia" w:ascii="仿宋" w:hAnsi="仿宋" w:eastAsia="仿宋" w:cs="宋体"/>
          <w:b/>
          <w:bCs w:val="0"/>
          <w:color w:val="auto"/>
          <w:sz w:val="32"/>
          <w:szCs w:val="32"/>
          <w:lang w:eastAsia="zh-CN" w:bidi="ar-SA"/>
        </w:rPr>
        <w:t>优先办理</w:t>
      </w:r>
      <w:r>
        <w:rPr>
          <w:rFonts w:hint="eastAsia" w:ascii="仿宋" w:hAnsi="仿宋" w:eastAsia="仿宋" w:cs="宋体"/>
          <w:bCs/>
          <w:color w:val="auto"/>
          <w:sz w:val="32"/>
          <w:szCs w:val="32"/>
          <w:lang w:eastAsia="zh-CN" w:bidi="ar-SA"/>
        </w:rPr>
        <w:t>】给予业务办理“绿色通道”、“轻微违法免罚”待遇；</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（四）【</w:t>
      </w:r>
      <w:r>
        <w:rPr>
          <w:rFonts w:hint="eastAsia" w:ascii="仿宋" w:hAnsi="仿宋" w:eastAsia="仿宋" w:cs="宋体"/>
          <w:b/>
          <w:bCs w:val="0"/>
          <w:color w:val="auto"/>
          <w:sz w:val="32"/>
          <w:szCs w:val="32"/>
          <w:lang w:eastAsia="zh-CN" w:bidi="ar-SA"/>
        </w:rPr>
        <w:t>优先树典</w:t>
      </w:r>
      <w:r>
        <w:rPr>
          <w:rFonts w:hint="eastAsia" w:ascii="仿宋" w:hAnsi="仿宋" w:eastAsia="仿宋" w:cs="宋体"/>
          <w:bCs/>
          <w:color w:val="auto"/>
          <w:sz w:val="32"/>
          <w:szCs w:val="32"/>
          <w:lang w:eastAsia="zh-CN" w:bidi="ar-SA"/>
        </w:rPr>
        <w:t>】优先树立为诚信典型并向社会推介等。</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第二十六条【驾驶员惩戒】</w:t>
      </w:r>
      <w:r>
        <w:rPr>
          <w:rFonts w:hint="eastAsia" w:ascii="仿宋" w:hAnsi="仿宋" w:eastAsia="仿宋" w:cs="宋体"/>
          <w:bCs/>
          <w:color w:val="auto"/>
          <w:sz w:val="32"/>
          <w:szCs w:val="32"/>
          <w:lang w:eastAsia="zh-CN" w:bidi="ar-SA"/>
        </w:rPr>
        <w:t>对信用考核等级为不合格的驾驶员给予如下惩戒措施：</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（一）【</w:t>
      </w:r>
      <w:r>
        <w:rPr>
          <w:rFonts w:hint="eastAsia" w:ascii="仿宋" w:hAnsi="仿宋" w:eastAsia="仿宋" w:cs="宋体"/>
          <w:b/>
          <w:bCs/>
          <w:color w:val="auto"/>
          <w:sz w:val="32"/>
          <w:szCs w:val="32"/>
          <w:lang w:eastAsia="zh-CN" w:bidi="ar-SA"/>
        </w:rPr>
        <w:t>列为重点对象</w:t>
      </w:r>
      <w:r>
        <w:rPr>
          <w:rFonts w:hint="eastAsia" w:ascii="仿宋" w:hAnsi="仿宋" w:eastAsia="仿宋" w:cs="宋体"/>
          <w:bCs/>
          <w:color w:val="auto"/>
          <w:sz w:val="32"/>
          <w:szCs w:val="32"/>
          <w:lang w:eastAsia="zh-CN" w:bidi="ar-SA"/>
        </w:rPr>
        <w:t>】列为重点监管对象，开展失信提示；</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（二）【</w:t>
      </w:r>
      <w:r>
        <w:rPr>
          <w:rFonts w:hint="eastAsia" w:ascii="仿宋" w:hAnsi="仿宋" w:eastAsia="仿宋" w:cs="宋体"/>
          <w:b/>
          <w:bCs/>
          <w:color w:val="auto"/>
          <w:sz w:val="32"/>
          <w:szCs w:val="32"/>
          <w:lang w:eastAsia="zh-CN" w:bidi="ar-SA"/>
        </w:rPr>
        <w:t>限制重大活动】</w:t>
      </w:r>
      <w:r>
        <w:rPr>
          <w:rFonts w:hint="eastAsia" w:ascii="仿宋" w:hAnsi="仿宋" w:eastAsia="仿宋" w:cs="宋体"/>
          <w:bCs/>
          <w:color w:val="auto"/>
          <w:sz w:val="32"/>
          <w:szCs w:val="32"/>
          <w:lang w:eastAsia="zh-CN" w:bidi="ar-SA"/>
        </w:rPr>
        <w:t>责令经营者加强对其教育和管理。对存在重大安全隐患的，及时调离驾驶员工作岗位。不得安排其参加重大政治和国防战备意义、社会影响大、安全风险高的运输生产任务。客运企业不得聘用其驾驶客运车辆；</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（三）【</w:t>
      </w:r>
      <w:r>
        <w:rPr>
          <w:rFonts w:hint="eastAsia" w:ascii="仿宋" w:hAnsi="仿宋" w:eastAsia="仿宋" w:cs="宋体"/>
          <w:b/>
          <w:bCs/>
          <w:color w:val="auto"/>
          <w:sz w:val="32"/>
          <w:szCs w:val="32"/>
          <w:lang w:eastAsia="zh-CN" w:bidi="ar-SA"/>
        </w:rPr>
        <w:t>接受继续教育</w:t>
      </w:r>
      <w:r>
        <w:rPr>
          <w:rFonts w:hint="eastAsia" w:ascii="仿宋" w:hAnsi="仿宋" w:eastAsia="仿宋" w:cs="宋体"/>
          <w:bCs/>
          <w:color w:val="auto"/>
          <w:sz w:val="32"/>
          <w:szCs w:val="32"/>
          <w:lang w:eastAsia="zh-CN" w:bidi="ar-SA"/>
        </w:rPr>
        <w:t>】参加继续教育。在考核等级确定后30日内，到辖区道路运输从业资格培训机构接受不少于18个学时的道路运输法规、职业道德和安全知识的信用考核继续教育；</w:t>
      </w:r>
    </w:p>
    <w:p>
      <w:pPr>
        <w:spacing w:line="600" w:lineRule="exact"/>
        <w:ind w:firstLine="640" w:firstLineChars="200"/>
        <w:jc w:val="both"/>
        <w:textAlignment w:val="baseline"/>
        <w:rPr>
          <w:rFonts w:hint="eastAsia"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（四）【</w:t>
      </w:r>
      <w:r>
        <w:rPr>
          <w:rFonts w:hint="eastAsia" w:ascii="仿宋" w:hAnsi="仿宋" w:eastAsia="仿宋" w:cs="宋体"/>
          <w:b/>
          <w:bCs/>
          <w:color w:val="auto"/>
          <w:sz w:val="32"/>
          <w:szCs w:val="32"/>
          <w:lang w:eastAsia="zh-CN" w:bidi="ar-SA"/>
        </w:rPr>
        <w:t>撤销资格证件</w:t>
      </w:r>
      <w:r>
        <w:rPr>
          <w:rFonts w:hint="eastAsia" w:ascii="仿宋" w:hAnsi="仿宋" w:eastAsia="仿宋" w:cs="宋体"/>
          <w:bCs/>
          <w:color w:val="auto"/>
          <w:sz w:val="32"/>
          <w:szCs w:val="32"/>
          <w:lang w:eastAsia="zh-CN" w:bidi="ar-SA"/>
        </w:rPr>
        <w:t>】对连续3个考核周期信用考核等级均为不合格或在一个考核周期内累计计分有3次达到20分的，依法撤销驾驶员从业资格证件。</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（五）【</w:t>
      </w:r>
      <w:r>
        <w:rPr>
          <w:rFonts w:hint="eastAsia" w:ascii="仿宋" w:hAnsi="仿宋" w:eastAsia="仿宋" w:cs="宋体"/>
          <w:b/>
          <w:bCs/>
          <w:color w:val="auto"/>
          <w:sz w:val="32"/>
          <w:szCs w:val="32"/>
          <w:lang w:eastAsia="zh-CN" w:bidi="ar-SA"/>
        </w:rPr>
        <w:t>取消评优资格</w:t>
      </w:r>
      <w:r>
        <w:rPr>
          <w:rFonts w:hint="eastAsia" w:ascii="仿宋" w:hAnsi="仿宋" w:eastAsia="仿宋" w:cs="宋体"/>
          <w:bCs/>
          <w:color w:val="auto"/>
          <w:sz w:val="32"/>
          <w:szCs w:val="32"/>
          <w:lang w:eastAsia="zh-CN" w:bidi="ar-SA"/>
        </w:rPr>
        <w:t>】取消评优评先资格。</w:t>
      </w:r>
    </w:p>
    <w:p>
      <w:pPr>
        <w:spacing w:line="600" w:lineRule="exact"/>
        <w:ind w:firstLine="642" w:firstLineChars="200"/>
        <w:jc w:val="both"/>
        <w:textAlignment w:val="baseline"/>
        <w:rPr>
          <w:rFonts w:ascii="仿宋" w:hAnsi="仿宋" w:eastAsia="仿宋" w:cs="宋体"/>
          <w:color w:val="auto"/>
          <w:sz w:val="32"/>
          <w:szCs w:val="32"/>
          <w:lang w:eastAsia="zh-CN"/>
        </w:rPr>
      </w:pPr>
      <w:r>
        <w:rPr>
          <w:rFonts w:hint="eastAsia" w:ascii="仿宋" w:hAnsi="仿宋" w:eastAsia="仿宋" w:cs="宋体"/>
          <w:b/>
          <w:bCs/>
          <w:color w:val="auto"/>
          <w:sz w:val="32"/>
          <w:szCs w:val="32"/>
          <w:lang w:eastAsia="zh-CN" w:bidi="ar-SA"/>
        </w:rPr>
        <w:t>第二十七条【经营者奖励】</w:t>
      </w:r>
      <w:r>
        <w:rPr>
          <w:rFonts w:hint="eastAsia" w:ascii="仿宋" w:hAnsi="仿宋" w:eastAsia="仿宋" w:cs="宋体"/>
          <w:bCs/>
          <w:color w:val="auto"/>
          <w:sz w:val="32"/>
          <w:szCs w:val="32"/>
          <w:lang w:eastAsia="zh-CN" w:bidi="ar-SA"/>
        </w:rPr>
        <w:t>一个年度内所属驾驶员累计有达80%以上信用考核等级为三星或达90%以上信用考核等级为二星，且均没有不合格驾驶员的道路运输经营者</w:t>
      </w:r>
      <w:r>
        <w:rPr>
          <w:rFonts w:hint="eastAsia" w:ascii="仿宋" w:hAnsi="仿宋" w:eastAsia="仿宋" w:cs="宋体"/>
          <w:color w:val="auto"/>
          <w:sz w:val="32"/>
          <w:szCs w:val="32"/>
          <w:lang w:eastAsia="zh-CN"/>
        </w:rPr>
        <w:t>予如下激励措施：</w:t>
      </w:r>
    </w:p>
    <w:p>
      <w:pPr>
        <w:spacing w:line="600" w:lineRule="exact"/>
        <w:ind w:firstLine="640" w:firstLineChars="200"/>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（一） 【</w:t>
      </w:r>
      <w:r>
        <w:rPr>
          <w:rFonts w:hint="eastAsia" w:ascii="仿宋" w:hAnsi="仿宋" w:eastAsia="仿宋" w:cs="宋体"/>
          <w:b/>
          <w:bCs/>
          <w:color w:val="auto"/>
          <w:sz w:val="32"/>
          <w:szCs w:val="32"/>
          <w:lang w:eastAsia="zh-CN" w:bidi="ar-SA"/>
        </w:rPr>
        <w:t>减少检查频次</w:t>
      </w:r>
      <w:r>
        <w:rPr>
          <w:rFonts w:hint="eastAsia" w:ascii="仿宋" w:hAnsi="仿宋" w:eastAsia="仿宋" w:cs="宋体"/>
          <w:bCs/>
          <w:color w:val="auto"/>
          <w:sz w:val="32"/>
          <w:szCs w:val="32"/>
          <w:lang w:eastAsia="zh-CN" w:bidi="ar-SA"/>
        </w:rPr>
        <w:t>】在开展“双随机、一公开”及专项检查工作中优化监管安排，对其相应减少检查频次；</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（二）【</w:t>
      </w:r>
      <w:r>
        <w:rPr>
          <w:rFonts w:hint="eastAsia" w:ascii="仿宋" w:hAnsi="仿宋" w:eastAsia="仿宋" w:cs="宋体"/>
          <w:b/>
          <w:bCs/>
          <w:color w:val="auto"/>
          <w:sz w:val="32"/>
          <w:szCs w:val="32"/>
          <w:lang w:eastAsia="zh-CN" w:bidi="ar-SA"/>
        </w:rPr>
        <w:t>开通绿色通道</w:t>
      </w:r>
      <w:r>
        <w:rPr>
          <w:rFonts w:hint="eastAsia" w:ascii="仿宋" w:hAnsi="仿宋" w:eastAsia="仿宋" w:cs="宋体"/>
          <w:bCs/>
          <w:color w:val="auto"/>
          <w:sz w:val="32"/>
          <w:szCs w:val="32"/>
          <w:lang w:eastAsia="zh-CN" w:bidi="ar-SA"/>
        </w:rPr>
        <w:t>】在行政许可过程中给予业务办理“绿色通道”、“容缺受理”待遇；</w:t>
      </w:r>
    </w:p>
    <w:p>
      <w:pPr>
        <w:spacing w:line="600" w:lineRule="exact"/>
        <w:ind w:firstLine="640" w:firstLineChars="200"/>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（三）【</w:t>
      </w:r>
      <w:r>
        <w:rPr>
          <w:rFonts w:hint="eastAsia" w:ascii="仿宋" w:hAnsi="仿宋" w:eastAsia="仿宋" w:cs="宋体"/>
          <w:b/>
          <w:bCs/>
          <w:color w:val="auto"/>
          <w:sz w:val="32"/>
          <w:szCs w:val="32"/>
          <w:lang w:eastAsia="zh-CN" w:bidi="ar-SA"/>
        </w:rPr>
        <w:t>招标投标加分</w:t>
      </w:r>
      <w:r>
        <w:rPr>
          <w:rFonts w:hint="eastAsia" w:ascii="仿宋" w:hAnsi="仿宋" w:eastAsia="仿宋" w:cs="宋体"/>
          <w:bCs/>
          <w:color w:val="auto"/>
          <w:sz w:val="32"/>
          <w:szCs w:val="32"/>
          <w:lang w:eastAsia="zh-CN" w:bidi="ar-SA"/>
        </w:rPr>
        <w:t>】在新增客货运力等服务质量招标投标中设置加分项；</w:t>
      </w:r>
    </w:p>
    <w:p>
      <w:pPr>
        <w:spacing w:line="600" w:lineRule="exact"/>
        <w:ind w:firstLine="640" w:firstLineChars="200"/>
        <w:textAlignment w:val="baseline"/>
        <w:rPr>
          <w:rFonts w:hint="eastAsia" w:ascii="仿宋" w:hAnsi="仿宋" w:eastAsia="仿宋" w:cs="宋体"/>
          <w:b/>
          <w:bCs/>
          <w:color w:val="auto"/>
          <w:sz w:val="32"/>
          <w:szCs w:val="32"/>
          <w:lang w:eastAsia="zh-CN" w:bidi="ar-SA"/>
        </w:rPr>
      </w:pPr>
      <w:r>
        <w:rPr>
          <w:rFonts w:hint="eastAsia" w:ascii="仿宋" w:hAnsi="仿宋" w:eastAsia="仿宋" w:cs="宋体"/>
          <w:bCs/>
          <w:color w:val="auto"/>
          <w:sz w:val="32"/>
          <w:szCs w:val="32"/>
          <w:lang w:eastAsia="zh-CN" w:bidi="ar-SA"/>
        </w:rPr>
        <w:t>（四）【</w:t>
      </w:r>
      <w:r>
        <w:rPr>
          <w:rFonts w:hint="eastAsia" w:ascii="仿宋" w:hAnsi="仿宋" w:eastAsia="仿宋" w:cs="宋体"/>
          <w:b/>
          <w:bCs/>
          <w:color w:val="auto"/>
          <w:sz w:val="32"/>
          <w:szCs w:val="32"/>
          <w:lang w:eastAsia="zh-CN" w:bidi="ar-SA"/>
        </w:rPr>
        <w:t>项目核准优先</w:t>
      </w:r>
      <w:r>
        <w:rPr>
          <w:rFonts w:hint="eastAsia" w:ascii="仿宋" w:hAnsi="仿宋" w:eastAsia="仿宋" w:cs="宋体"/>
          <w:bCs/>
          <w:color w:val="auto"/>
          <w:sz w:val="32"/>
          <w:szCs w:val="32"/>
          <w:lang w:eastAsia="zh-CN" w:bidi="ar-SA"/>
        </w:rPr>
        <w:t>】在项目核准和示范企业申请评比等方面予以优先考虑</w:t>
      </w:r>
      <w:r>
        <w:rPr>
          <w:rFonts w:hint="eastAsia" w:ascii="仿宋" w:hAnsi="仿宋" w:eastAsia="仿宋" w:cs="宋体"/>
          <w:b/>
          <w:bCs/>
          <w:color w:val="auto"/>
          <w:sz w:val="32"/>
          <w:szCs w:val="32"/>
          <w:lang w:eastAsia="zh-CN" w:bidi="ar-SA"/>
        </w:rPr>
        <w:t>；</w:t>
      </w:r>
    </w:p>
    <w:p>
      <w:pPr>
        <w:pStyle w:val="16"/>
        <w:shd w:val="clear" w:color="auto" w:fill="FFFFFF"/>
        <w:spacing w:line="600" w:lineRule="exact"/>
        <w:ind w:firstLine="640" w:firstLineChars="200"/>
        <w:textAlignment w:val="baseline"/>
        <w:rPr>
          <w:rFonts w:hint="default" w:ascii="仿宋" w:hAnsi="仿宋" w:eastAsia="仿宋" w:cs="宋体"/>
          <w:bCs/>
          <w:color w:val="auto"/>
          <w:sz w:val="32"/>
          <w:szCs w:val="32"/>
        </w:rPr>
      </w:pPr>
      <w:r>
        <w:rPr>
          <w:rFonts w:hint="eastAsia" w:ascii="仿宋" w:hAnsi="仿宋" w:eastAsia="仿宋" w:cs="宋体"/>
          <w:bCs/>
          <w:color w:val="auto"/>
          <w:sz w:val="32"/>
          <w:szCs w:val="32"/>
          <w:lang w:eastAsia="zh-CN"/>
        </w:rPr>
        <w:t>（五）</w:t>
      </w:r>
      <w:r>
        <w:rPr>
          <w:rFonts w:hint="eastAsia" w:ascii="仿宋" w:hAnsi="仿宋" w:eastAsia="仿宋" w:cs="宋体"/>
          <w:b w:val="0"/>
          <w:bCs w:val="0"/>
          <w:color w:val="auto"/>
          <w:sz w:val="32"/>
          <w:szCs w:val="32"/>
          <w:lang w:val="en-US" w:eastAsia="zh-CN" w:bidi="ar-SA"/>
        </w:rPr>
        <w:t>【</w:t>
      </w:r>
      <w:r>
        <w:rPr>
          <w:rFonts w:hint="eastAsia" w:ascii="仿宋" w:hAnsi="仿宋" w:eastAsia="仿宋" w:cs="宋体"/>
          <w:b/>
          <w:bCs/>
          <w:color w:val="auto"/>
          <w:sz w:val="32"/>
          <w:szCs w:val="32"/>
          <w:lang w:val="en-US" w:eastAsia="zh-CN" w:bidi="ar-SA"/>
        </w:rPr>
        <w:t>资金采购优先</w:t>
      </w:r>
      <w:r>
        <w:rPr>
          <w:rFonts w:hint="eastAsia" w:ascii="仿宋" w:hAnsi="仿宋" w:eastAsia="仿宋" w:cs="宋体"/>
          <w:bCs/>
          <w:color w:val="auto"/>
          <w:sz w:val="32"/>
          <w:szCs w:val="32"/>
          <w:lang w:eastAsia="zh-CN"/>
        </w:rPr>
        <w:t>】</w:t>
      </w:r>
      <w:r>
        <w:rPr>
          <w:rFonts w:ascii="仿宋" w:hAnsi="仿宋" w:eastAsia="仿宋" w:cs="宋体"/>
          <w:bCs/>
          <w:color w:val="auto"/>
          <w:sz w:val="32"/>
          <w:szCs w:val="32"/>
        </w:rPr>
        <w:t>在开展政府采购和安排专项资金时，同等条件下列为优先选择对象。</w:t>
      </w:r>
    </w:p>
    <w:p>
      <w:pPr>
        <w:spacing w:line="600" w:lineRule="exact"/>
        <w:ind w:firstLine="640" w:firstLineChars="200"/>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（六）【</w:t>
      </w:r>
      <w:r>
        <w:rPr>
          <w:rFonts w:hint="eastAsia" w:ascii="仿宋" w:hAnsi="仿宋" w:eastAsia="仿宋" w:cs="宋体"/>
          <w:b/>
          <w:bCs/>
          <w:color w:val="auto"/>
          <w:sz w:val="32"/>
          <w:szCs w:val="32"/>
          <w:lang w:val="en-US" w:eastAsia="zh-CN" w:bidi="ar-SA"/>
        </w:rPr>
        <w:t>优先安排任务</w:t>
      </w:r>
      <w:r>
        <w:rPr>
          <w:rFonts w:hint="eastAsia" w:ascii="仿宋" w:hAnsi="仿宋" w:eastAsia="仿宋" w:cs="宋体"/>
          <w:bCs/>
          <w:color w:val="auto"/>
          <w:sz w:val="32"/>
          <w:szCs w:val="32"/>
          <w:lang w:eastAsia="zh-CN" w:bidi="ar-SA"/>
        </w:rPr>
        <w:t>】在政府保障性任务、临时性抢险救灾和疫情防控任务等方面优先考虑；</w:t>
      </w:r>
    </w:p>
    <w:p>
      <w:pPr>
        <w:pStyle w:val="16"/>
        <w:shd w:val="clear" w:color="auto" w:fill="FFFFFF"/>
        <w:spacing w:line="600" w:lineRule="exact"/>
        <w:ind w:firstLine="640" w:firstLineChars="200"/>
        <w:textAlignment w:val="baseline"/>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（七）【</w:t>
      </w:r>
      <w:r>
        <w:rPr>
          <w:rFonts w:hint="eastAsia" w:ascii="仿宋" w:hAnsi="仿宋" w:eastAsia="仿宋" w:cs="宋体"/>
          <w:b/>
          <w:bCs/>
          <w:color w:val="auto"/>
          <w:sz w:val="32"/>
          <w:szCs w:val="32"/>
          <w:lang w:val="en-US" w:eastAsia="zh-CN" w:bidi="ar-SA"/>
        </w:rPr>
        <w:t>优先表彰评优</w:t>
      </w:r>
      <w:r>
        <w:rPr>
          <w:rFonts w:hint="eastAsia" w:ascii="仿宋" w:hAnsi="仿宋" w:eastAsia="仿宋" w:cs="宋体"/>
          <w:bCs/>
          <w:color w:val="auto"/>
          <w:sz w:val="32"/>
          <w:szCs w:val="32"/>
          <w:lang w:eastAsia="zh-CN"/>
        </w:rPr>
        <w:t>】</w:t>
      </w:r>
      <w:r>
        <w:rPr>
          <w:rFonts w:ascii="仿宋" w:hAnsi="仿宋" w:eastAsia="仿宋" w:cs="宋体"/>
          <w:bCs/>
          <w:color w:val="auto"/>
          <w:sz w:val="32"/>
          <w:szCs w:val="32"/>
        </w:rPr>
        <w:t>在荣誉表彰、评先评优、品牌创建时优先考虑</w:t>
      </w:r>
      <w:r>
        <w:rPr>
          <w:rFonts w:hint="eastAsia" w:ascii="仿宋" w:hAnsi="仿宋" w:eastAsia="仿宋" w:cs="宋体"/>
          <w:bCs/>
          <w:color w:val="auto"/>
          <w:sz w:val="32"/>
          <w:szCs w:val="32"/>
          <w:lang w:eastAsia="zh-CN"/>
        </w:rPr>
        <w:t>。</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第二十八条【经营者惩罚】</w:t>
      </w:r>
      <w:r>
        <w:rPr>
          <w:rFonts w:hint="eastAsia" w:ascii="仿宋" w:hAnsi="仿宋" w:eastAsia="仿宋" w:cs="宋体"/>
          <w:bCs/>
          <w:color w:val="auto"/>
          <w:sz w:val="32"/>
          <w:szCs w:val="32"/>
          <w:lang w:eastAsia="zh-CN" w:bidi="ar-SA"/>
        </w:rPr>
        <w:t>一个年度内所属驾驶员累计有20%以上信用考核等级为不合格的道路经营者，交通运输主管部门应当责令限期整改，不得将其作为道路运输行业表彰评优的对象；连续两个年度所属驾驶员累计有20%以上信用考核等级为不合格的道路运输经营者，</w:t>
      </w:r>
      <w:r>
        <w:rPr>
          <w:rFonts w:hint="eastAsia" w:ascii="仿宋" w:hAnsi="仿宋" w:eastAsia="仿宋" w:cs="宋体"/>
          <w:color w:val="auto"/>
          <w:sz w:val="32"/>
          <w:szCs w:val="32"/>
          <w:lang w:eastAsia="zh-CN"/>
        </w:rPr>
        <w:t>交通运输主管部门可以将其列为“道路运输安全生产高风险企业”向</w:t>
      </w:r>
      <w:r>
        <w:rPr>
          <w:rFonts w:hint="eastAsia" w:ascii="仿宋" w:hAnsi="仿宋" w:eastAsia="仿宋" w:cs="宋体"/>
          <w:bCs/>
          <w:color w:val="auto"/>
          <w:sz w:val="32"/>
          <w:szCs w:val="32"/>
          <w:lang w:eastAsia="zh-CN" w:bidi="ar-SA"/>
        </w:rPr>
        <w:t>社会公告。</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第二十九条【严重失信行为惩戒</w:t>
      </w:r>
      <w:r>
        <w:rPr>
          <w:rFonts w:hint="eastAsia" w:ascii="仿宋" w:hAnsi="仿宋" w:eastAsia="仿宋" w:cs="宋体"/>
          <w:bCs/>
          <w:color w:val="auto"/>
          <w:sz w:val="32"/>
          <w:szCs w:val="32"/>
          <w:lang w:eastAsia="zh-CN" w:bidi="ar-SA"/>
        </w:rPr>
        <w:t>】对列入“严重失信行为名单”的驾驶员，交通运输主管部给予如下惩戒措施：</w:t>
      </w:r>
      <w:r>
        <w:rPr>
          <w:rFonts w:ascii="仿宋" w:hAnsi="仿宋" w:eastAsia="仿宋" w:cs="宋体"/>
          <w:bCs/>
          <w:color w:val="auto"/>
          <w:sz w:val="32"/>
          <w:szCs w:val="32"/>
          <w:lang w:eastAsia="zh-CN" w:bidi="ar-SA"/>
        </w:rPr>
        <w:t xml:space="preserve"> </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（一）【</w:t>
      </w:r>
      <w:r>
        <w:rPr>
          <w:rFonts w:hint="eastAsia" w:ascii="仿宋" w:hAnsi="仿宋" w:eastAsia="仿宋" w:cs="宋体"/>
          <w:b/>
          <w:bCs w:val="0"/>
          <w:color w:val="auto"/>
          <w:sz w:val="32"/>
          <w:szCs w:val="32"/>
          <w:lang w:eastAsia="zh-CN" w:bidi="ar-SA"/>
        </w:rPr>
        <w:t>披露失信人员</w:t>
      </w:r>
      <w:r>
        <w:rPr>
          <w:rFonts w:hint="eastAsia" w:ascii="仿宋" w:hAnsi="仿宋" w:eastAsia="仿宋" w:cs="宋体"/>
          <w:bCs/>
          <w:color w:val="auto"/>
          <w:sz w:val="32"/>
          <w:szCs w:val="32"/>
          <w:lang w:eastAsia="zh-CN" w:bidi="ar-SA"/>
        </w:rPr>
        <w:t>】实施名单制管理。通过“信用交通·河南”网站向社会公布，保存和披露期限为3年，自发生不良行为或者事件认定之日起计算；</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（二）【</w:t>
      </w:r>
      <w:r>
        <w:rPr>
          <w:rFonts w:hint="eastAsia" w:ascii="仿宋" w:hAnsi="仿宋" w:eastAsia="仿宋" w:cs="宋体"/>
          <w:b/>
          <w:bCs w:val="0"/>
          <w:color w:val="auto"/>
          <w:sz w:val="32"/>
          <w:szCs w:val="32"/>
          <w:lang w:eastAsia="zh-CN" w:bidi="ar-SA"/>
        </w:rPr>
        <w:t>严格行业准入</w:t>
      </w:r>
      <w:r>
        <w:rPr>
          <w:rFonts w:hint="eastAsia" w:ascii="仿宋" w:hAnsi="仿宋" w:eastAsia="仿宋" w:cs="宋体"/>
          <w:bCs/>
          <w:color w:val="auto"/>
          <w:sz w:val="32"/>
          <w:szCs w:val="32"/>
          <w:lang w:eastAsia="zh-CN" w:bidi="ar-SA"/>
        </w:rPr>
        <w:t>】依法实施市场和行业禁入（退出）措施。列管期间，道路运政管理信息系统自动停办转籍或者从业资格证补发、换发、变更等业务；</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（三）【</w:t>
      </w:r>
      <w:r>
        <w:rPr>
          <w:rFonts w:hint="eastAsia" w:ascii="仿宋" w:hAnsi="仿宋" w:eastAsia="仿宋" w:cs="宋体"/>
          <w:b/>
          <w:bCs w:val="0"/>
          <w:color w:val="auto"/>
          <w:sz w:val="32"/>
          <w:szCs w:val="32"/>
          <w:lang w:eastAsia="zh-CN" w:bidi="ar-SA"/>
        </w:rPr>
        <w:t>实行联合惩戒</w:t>
      </w:r>
      <w:r>
        <w:rPr>
          <w:rFonts w:hint="eastAsia" w:ascii="仿宋" w:hAnsi="仿宋" w:eastAsia="仿宋" w:cs="宋体"/>
          <w:bCs/>
          <w:color w:val="auto"/>
          <w:sz w:val="32"/>
          <w:szCs w:val="32"/>
          <w:lang w:eastAsia="zh-CN" w:bidi="ar-SA"/>
        </w:rPr>
        <w:t>】按照有关规定进行部门联合惩戒。</w:t>
      </w:r>
    </w:p>
    <w:p>
      <w:pPr>
        <w:spacing w:line="600" w:lineRule="exact"/>
        <w:ind w:firstLine="0"/>
        <w:jc w:val="center"/>
        <w:textAlignment w:val="baseline"/>
        <w:rPr>
          <w:rFonts w:ascii="宋体" w:hAnsi="宋体" w:eastAsia="宋体" w:cs="宋体"/>
          <w:color w:val="auto"/>
          <w:sz w:val="32"/>
          <w:szCs w:val="32"/>
          <w:lang w:eastAsia="zh-CN" w:bidi="ar-SA"/>
        </w:rPr>
      </w:pPr>
      <w:r>
        <w:rPr>
          <w:rFonts w:hint="eastAsia" w:ascii="黑体" w:hAnsi="黑体" w:eastAsia="黑体" w:cs="宋体"/>
          <w:color w:val="auto"/>
          <w:sz w:val="32"/>
          <w:szCs w:val="32"/>
          <w:lang w:eastAsia="zh-CN" w:bidi="ar-SA"/>
        </w:rPr>
        <w:t>第六章 附则</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第三十条【监督管理】</w:t>
      </w:r>
      <w:r>
        <w:rPr>
          <w:rFonts w:hint="eastAsia" w:ascii="仿宋" w:hAnsi="仿宋" w:eastAsia="仿宋" w:cs="宋体"/>
          <w:bCs/>
          <w:color w:val="auto"/>
          <w:sz w:val="32"/>
          <w:szCs w:val="32"/>
          <w:lang w:eastAsia="zh-CN" w:bidi="ar-SA"/>
        </w:rPr>
        <w:t>各级交通运输主管部门以及相关单位工作人员在驾驶员信用考核工作中，如存在玩忽职守、滥用职权、徇私舞弊等行为的，由所在单位或其上级主管部门依照国家有关规定给予处分，构成犯罪的，依法追究刑事责任。</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第三十一条【其他规定】</w:t>
      </w:r>
      <w:r>
        <w:rPr>
          <w:rFonts w:hint="eastAsia" w:ascii="仿宋" w:hAnsi="仿宋" w:eastAsia="仿宋" w:cs="宋体"/>
          <w:bCs/>
          <w:color w:val="auto"/>
          <w:sz w:val="32"/>
          <w:szCs w:val="32"/>
          <w:lang w:eastAsia="zh-CN" w:bidi="ar-SA"/>
        </w:rPr>
        <w:t>出租汽车驾驶员、道路危险货物运输</w:t>
      </w:r>
      <w:r>
        <w:rPr>
          <w:rFonts w:hint="eastAsia" w:ascii="仿宋" w:hAnsi="仿宋" w:eastAsia="仿宋" w:cs="宋体"/>
          <w:b/>
          <w:bCs w:val="0"/>
          <w:color w:val="auto"/>
          <w:sz w:val="32"/>
          <w:szCs w:val="32"/>
          <w:lang w:eastAsia="zh-CN" w:bidi="ar-SA"/>
        </w:rPr>
        <w:t>押运人员、装卸管理人员、</w:t>
      </w:r>
      <w:r>
        <w:rPr>
          <w:rFonts w:hint="eastAsia" w:ascii="仿宋" w:hAnsi="仿宋" w:eastAsia="仿宋" w:cs="宋体"/>
          <w:bCs/>
          <w:color w:val="auto"/>
          <w:sz w:val="32"/>
          <w:szCs w:val="32"/>
          <w:lang w:eastAsia="zh-CN" w:bidi="ar-SA"/>
        </w:rPr>
        <w:t>安全员及机动车驾驶培训教练员等从业人员信用考核办法将另行制定。</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第三十二条【解释权】</w:t>
      </w:r>
      <w:r>
        <w:rPr>
          <w:rFonts w:hint="eastAsia" w:ascii="仿宋" w:hAnsi="仿宋" w:eastAsia="仿宋" w:cs="宋体"/>
          <w:bCs/>
          <w:color w:val="auto"/>
          <w:sz w:val="32"/>
          <w:szCs w:val="32"/>
          <w:lang w:eastAsia="zh-CN" w:bidi="ar-SA"/>
        </w:rPr>
        <w:t>本细则由省交通运输厅负责解释。</w:t>
      </w:r>
    </w:p>
    <w:p>
      <w:pPr>
        <w:spacing w:line="600" w:lineRule="exact"/>
        <w:ind w:firstLine="642"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
          <w:bCs/>
          <w:color w:val="auto"/>
          <w:sz w:val="32"/>
          <w:szCs w:val="32"/>
          <w:lang w:eastAsia="zh-CN" w:bidi="ar-SA"/>
        </w:rPr>
        <w:t>第三十三条【施行日期】</w:t>
      </w:r>
      <w:r>
        <w:rPr>
          <w:rFonts w:hint="eastAsia" w:ascii="仿宋" w:hAnsi="仿宋" w:eastAsia="仿宋" w:cs="宋体"/>
          <w:bCs/>
          <w:color w:val="auto"/>
          <w:sz w:val="32"/>
          <w:szCs w:val="32"/>
          <w:lang w:eastAsia="zh-CN" w:bidi="ar-SA"/>
        </w:rPr>
        <w:t>本细则自2022年 月 日起施行，有效期为x年。此前本省有关驾驶员信用考核规定与本细则有不一致的，以本细则为准。</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附件：河南省道路运输驾驶员信用考核计分分值标准</w:t>
      </w:r>
    </w:p>
    <w:p>
      <w:pPr>
        <w:spacing w:line="600" w:lineRule="exact"/>
        <w:ind w:firstLine="640" w:firstLineChars="200"/>
        <w:jc w:val="both"/>
        <w:textAlignment w:val="baseline"/>
        <w:rPr>
          <w:rFonts w:ascii="仿宋" w:hAnsi="仿宋" w:eastAsia="仿宋" w:cs="宋体"/>
          <w:bCs/>
          <w:color w:val="auto"/>
          <w:sz w:val="32"/>
          <w:szCs w:val="32"/>
          <w:lang w:eastAsia="zh-CN" w:bidi="ar-SA"/>
        </w:rPr>
      </w:pPr>
      <w:r>
        <w:rPr>
          <w:rFonts w:hint="eastAsia" w:ascii="仿宋" w:hAnsi="仿宋" w:eastAsia="仿宋" w:cs="宋体"/>
          <w:bCs/>
          <w:color w:val="auto"/>
          <w:sz w:val="32"/>
          <w:szCs w:val="32"/>
          <w:lang w:eastAsia="zh-CN" w:bidi="ar-SA"/>
        </w:rPr>
        <w:t xml:space="preserve"> </w:t>
      </w:r>
    </w:p>
    <w:p>
      <w:pPr>
        <w:spacing w:line="600" w:lineRule="exact"/>
        <w:ind w:firstLine="640" w:firstLineChars="200"/>
        <w:jc w:val="both"/>
        <w:textAlignment w:val="baseline"/>
        <w:rPr>
          <w:rFonts w:ascii="仿宋" w:hAnsi="仿宋" w:eastAsia="仿宋" w:cs="宋体"/>
          <w:bCs/>
          <w:color w:val="auto"/>
          <w:sz w:val="32"/>
          <w:szCs w:val="32"/>
          <w:lang w:eastAsia="zh-CN" w:bidi="ar-SA"/>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ind w:firstLine="0"/>
        <w:textAlignment w:val="baseline"/>
        <w:rPr>
          <w:rFonts w:ascii="黑体" w:hAnsi="黑体" w:eastAsia="黑体" w:cs="宋体"/>
          <w:color w:val="auto"/>
          <w:sz w:val="32"/>
          <w:szCs w:val="32"/>
          <w:lang w:eastAsia="zh-CN" w:bidi="ar-SA"/>
        </w:rPr>
      </w:pPr>
      <w:r>
        <w:rPr>
          <w:rFonts w:hint="eastAsia" w:ascii="黑体" w:hAnsi="黑体" w:eastAsia="黑体" w:cs="宋体"/>
          <w:color w:val="auto"/>
          <w:sz w:val="32"/>
          <w:szCs w:val="32"/>
          <w:lang w:eastAsia="zh-CN" w:bidi="ar-SA"/>
        </w:rPr>
        <w:t>附件：</w:t>
      </w:r>
    </w:p>
    <w:p>
      <w:pPr>
        <w:spacing w:line="600" w:lineRule="exact"/>
        <w:ind w:firstLine="0"/>
        <w:jc w:val="center"/>
        <w:textAlignment w:val="baseline"/>
        <w:rPr>
          <w:rFonts w:ascii="宋体" w:hAnsi="宋体" w:eastAsia="宋体" w:cs="宋体"/>
          <w:color w:val="auto"/>
          <w:sz w:val="24"/>
          <w:szCs w:val="24"/>
          <w:lang w:eastAsia="zh-CN" w:bidi="ar-SA"/>
        </w:rPr>
      </w:pPr>
      <w:r>
        <w:rPr>
          <w:rFonts w:hint="eastAsia" w:ascii="黑体" w:hAnsi="黑体" w:eastAsia="黑体" w:cs="宋体"/>
          <w:color w:val="auto"/>
          <w:sz w:val="32"/>
          <w:szCs w:val="32"/>
          <w:lang w:eastAsia="zh-CN" w:bidi="ar-SA"/>
        </w:rPr>
        <w:t>河南省道路运输驾驶员信用考核计分分值标准</w:t>
      </w:r>
    </w:p>
    <w:tbl>
      <w:tblPr>
        <w:tblStyle w:val="19"/>
        <w:tblW w:w="8811" w:type="dxa"/>
        <w:tblInd w:w="-75" w:type="dxa"/>
        <w:tblLayout w:type="fixed"/>
        <w:tblCellMar>
          <w:top w:w="15" w:type="dxa"/>
          <w:left w:w="15" w:type="dxa"/>
          <w:bottom w:w="15" w:type="dxa"/>
          <w:right w:w="15" w:type="dxa"/>
        </w:tblCellMar>
      </w:tblPr>
      <w:tblGrid>
        <w:gridCol w:w="635"/>
        <w:gridCol w:w="635"/>
        <w:gridCol w:w="2081"/>
        <w:gridCol w:w="1984"/>
        <w:gridCol w:w="1436"/>
        <w:gridCol w:w="974"/>
        <w:gridCol w:w="1066"/>
      </w:tblGrid>
      <w:tr>
        <w:tblPrEx>
          <w:tblCellMar>
            <w:top w:w="15" w:type="dxa"/>
            <w:left w:w="15" w:type="dxa"/>
            <w:bottom w:w="15" w:type="dxa"/>
            <w:right w:w="15" w:type="dxa"/>
          </w:tblCellMar>
        </w:tblPrEx>
        <w:trPr>
          <w:trHeight w:val="313" w:hRule="atLeast"/>
          <w:tblHeader/>
        </w:trPr>
        <w:tc>
          <w:tcPr>
            <w:tcW w:w="635" w:type="dxa"/>
            <w:tcBorders>
              <w:top w:val="single" w:color="000000" w:sz="2" w:space="0"/>
              <w:left w:val="single" w:color="000000" w:sz="2" w:space="0"/>
              <w:bottom w:val="single" w:color="auto" w:sz="4" w:space="0"/>
              <w:right w:val="single" w:color="000000" w:sz="2" w:space="0"/>
            </w:tcBorders>
            <w:vAlign w:val="center"/>
          </w:tcPr>
          <w:p>
            <w:pPr>
              <w:spacing w:line="600" w:lineRule="exact"/>
              <w:ind w:firstLine="0"/>
              <w:jc w:val="center"/>
              <w:textAlignment w:val="baseline"/>
              <w:rPr>
                <w:rFonts w:ascii="黑体" w:hAnsi="黑体" w:eastAsia="黑体" w:cs="宋体"/>
                <w:color w:val="auto"/>
                <w:lang w:eastAsia="zh-CN" w:bidi="ar-SA"/>
              </w:rPr>
            </w:pPr>
            <w:r>
              <w:rPr>
                <w:rFonts w:hint="eastAsia" w:ascii="黑体" w:hAnsi="黑体" w:eastAsia="黑体" w:cs="宋体"/>
                <w:color w:val="auto"/>
                <w:lang w:eastAsia="zh-CN" w:bidi="ar-SA"/>
              </w:rPr>
              <w:t>序号</w:t>
            </w:r>
          </w:p>
        </w:tc>
        <w:tc>
          <w:tcPr>
            <w:tcW w:w="635" w:type="dxa"/>
            <w:tcBorders>
              <w:top w:val="single" w:color="000000" w:sz="2" w:space="0"/>
              <w:left w:val="single" w:color="000000" w:sz="2" w:space="0"/>
              <w:bottom w:val="single" w:color="000000" w:sz="2" w:space="0"/>
              <w:right w:val="single" w:color="000000" w:sz="2" w:space="0"/>
            </w:tcBorders>
            <w:vAlign w:val="center"/>
          </w:tcPr>
          <w:p>
            <w:pPr>
              <w:spacing w:line="600" w:lineRule="exact"/>
              <w:ind w:firstLine="0"/>
              <w:jc w:val="center"/>
              <w:textAlignment w:val="baseline"/>
              <w:rPr>
                <w:rFonts w:ascii="黑体" w:hAnsi="黑体" w:eastAsia="黑体" w:cs="宋体"/>
                <w:color w:val="auto"/>
                <w:sz w:val="20"/>
                <w:lang w:eastAsia="zh-CN" w:bidi="ar-SA"/>
              </w:rPr>
            </w:pPr>
            <w:r>
              <w:rPr>
                <w:rFonts w:hint="eastAsia" w:ascii="黑体" w:hAnsi="黑体" w:eastAsia="黑体" w:cs="宋体"/>
                <w:color w:val="auto"/>
                <w:lang w:eastAsia="zh-CN" w:bidi="ar-SA"/>
              </w:rPr>
              <w:t>一级指标</w:t>
            </w: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600" w:lineRule="exact"/>
              <w:ind w:firstLine="0"/>
              <w:jc w:val="center"/>
              <w:textAlignment w:val="baseline"/>
              <w:rPr>
                <w:rFonts w:ascii="黑体" w:hAnsi="黑体" w:eastAsia="黑体" w:cs="宋体"/>
                <w:color w:val="auto"/>
                <w:sz w:val="20"/>
                <w:lang w:eastAsia="zh-CN" w:bidi="ar-SA"/>
              </w:rPr>
            </w:pPr>
            <w:r>
              <w:rPr>
                <w:rFonts w:hint="eastAsia" w:ascii="黑体" w:hAnsi="黑体" w:eastAsia="黑体" w:cs="宋体"/>
                <w:color w:val="auto"/>
                <w:lang w:eastAsia="zh-CN" w:bidi="ar-SA"/>
              </w:rPr>
              <w:t>二级指标</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600" w:lineRule="exact"/>
              <w:ind w:firstLine="0"/>
              <w:jc w:val="center"/>
              <w:textAlignment w:val="baseline"/>
              <w:rPr>
                <w:rFonts w:ascii="黑体" w:hAnsi="黑体" w:eastAsia="黑体" w:cs="宋体"/>
                <w:color w:val="auto"/>
                <w:sz w:val="20"/>
                <w:lang w:eastAsia="zh-CN" w:bidi="ar-SA"/>
              </w:rPr>
            </w:pPr>
            <w:r>
              <w:rPr>
                <w:rFonts w:hint="eastAsia" w:ascii="黑体" w:hAnsi="黑体" w:eastAsia="黑体" w:cs="宋体"/>
                <w:color w:val="auto"/>
                <w:lang w:eastAsia="zh-CN" w:bidi="ar-SA"/>
              </w:rPr>
              <w:t>法律依据</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600" w:lineRule="exact"/>
              <w:ind w:firstLine="0"/>
              <w:jc w:val="center"/>
              <w:textAlignment w:val="baseline"/>
              <w:rPr>
                <w:rFonts w:ascii="黑体" w:hAnsi="黑体" w:eastAsia="黑体" w:cs="宋体"/>
                <w:color w:val="auto"/>
                <w:lang w:eastAsia="zh-CN" w:bidi="ar-SA"/>
              </w:rPr>
            </w:pPr>
            <w:r>
              <w:rPr>
                <w:rFonts w:hint="eastAsia" w:ascii="黑体" w:hAnsi="黑体" w:eastAsia="黑体" w:cs="宋体"/>
                <w:color w:val="auto"/>
                <w:lang w:eastAsia="zh-CN" w:bidi="ar-SA"/>
              </w:rPr>
              <w:t>信息来源</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600" w:lineRule="exact"/>
              <w:ind w:firstLine="0"/>
              <w:jc w:val="center"/>
              <w:textAlignment w:val="baseline"/>
              <w:rPr>
                <w:rFonts w:ascii="黑体" w:hAnsi="黑体" w:eastAsia="黑体" w:cs="宋体"/>
                <w:color w:val="auto"/>
                <w:sz w:val="20"/>
                <w:lang w:eastAsia="zh-CN" w:bidi="ar-SA"/>
              </w:rPr>
            </w:pPr>
            <w:r>
              <w:rPr>
                <w:rFonts w:hint="eastAsia" w:ascii="黑体" w:hAnsi="黑体" w:eastAsia="黑体" w:cs="宋体"/>
                <w:color w:val="auto"/>
                <w:lang w:eastAsia="zh-CN" w:bidi="ar-SA"/>
              </w:rPr>
              <w:t>分值</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600" w:lineRule="exact"/>
              <w:ind w:firstLine="0"/>
              <w:jc w:val="center"/>
              <w:textAlignment w:val="baseline"/>
              <w:rPr>
                <w:rFonts w:ascii="黑体" w:hAnsi="黑体" w:eastAsia="黑体" w:cs="宋体"/>
                <w:color w:val="auto"/>
                <w:sz w:val="20"/>
                <w:lang w:eastAsia="zh-CN" w:bidi="ar-SA"/>
              </w:rPr>
            </w:pPr>
            <w:r>
              <w:rPr>
                <w:rFonts w:hint="eastAsia" w:ascii="黑体" w:hAnsi="黑体" w:eastAsia="黑体" w:cs="宋体"/>
                <w:color w:val="auto"/>
                <w:lang w:eastAsia="zh-CN" w:bidi="ar-SA"/>
              </w:rPr>
              <w:t>代码</w:t>
            </w:r>
          </w:p>
        </w:tc>
      </w:tr>
      <w:tr>
        <w:tblPrEx>
          <w:tblCellMar>
            <w:top w:w="15" w:type="dxa"/>
            <w:left w:w="15" w:type="dxa"/>
            <w:bottom w:w="15" w:type="dxa"/>
            <w:right w:w="15" w:type="dxa"/>
          </w:tblCellMar>
        </w:tblPrEx>
        <w:trPr>
          <w:trHeight w:val="313"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w:t>
            </w:r>
          </w:p>
        </w:tc>
        <w:tc>
          <w:tcPr>
            <w:tcW w:w="635" w:type="dxa"/>
            <w:vMerge w:val="restart"/>
            <w:tcBorders>
              <w:top w:val="single" w:color="000000" w:sz="2" w:space="0"/>
              <w:left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安全生产</w:t>
            </w: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从事道路运输经营活动，发生重大以上道路交通事故，且负同等责任的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《机动车驾驶证申领和使用规定》、《道路运输驾驶员诚信考核办法（试行）》</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公安交管部门业务系统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20</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ascii="宋体" w:hAnsi="宋体" w:eastAsia="宋体" w:cs="宋体"/>
                <w:color w:val="auto"/>
                <w:sz w:val="21"/>
                <w:szCs w:val="21"/>
                <w:lang w:eastAsia="zh-CN" w:bidi="ar-SA"/>
              </w:rPr>
              <w:t>AQ</w:t>
            </w:r>
            <w:r>
              <w:rPr>
                <w:rFonts w:hint="eastAsia" w:ascii="宋体" w:hAnsi="宋体" w:eastAsia="宋体" w:cs="宋体"/>
                <w:color w:val="auto"/>
                <w:sz w:val="21"/>
                <w:szCs w:val="21"/>
                <w:lang w:eastAsia="zh-CN" w:bidi="ar-SA"/>
              </w:rPr>
              <w:t>SC</w:t>
            </w:r>
            <w:r>
              <w:rPr>
                <w:rFonts w:ascii="宋体" w:hAnsi="宋体" w:eastAsia="宋体" w:cs="宋体"/>
                <w:color w:val="auto"/>
                <w:sz w:val="21"/>
                <w:szCs w:val="21"/>
                <w:lang w:eastAsia="zh-CN" w:bidi="ar-SA"/>
              </w:rPr>
              <w:t>-1</w:t>
            </w:r>
          </w:p>
        </w:tc>
      </w:tr>
      <w:tr>
        <w:tblPrEx>
          <w:tblCellMar>
            <w:top w:w="15" w:type="dxa"/>
            <w:left w:w="15" w:type="dxa"/>
            <w:bottom w:w="15" w:type="dxa"/>
            <w:right w:w="15" w:type="dxa"/>
          </w:tblCellMar>
        </w:tblPrEx>
        <w:trPr>
          <w:trHeight w:val="313"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w:t>
            </w:r>
          </w:p>
        </w:tc>
        <w:tc>
          <w:tcPr>
            <w:tcW w:w="635" w:type="dxa"/>
            <w:vMerge w:val="continue"/>
            <w:tcBorders>
              <w:left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在危险货物运输过程中发生燃烧、爆炸、污染、中毒或者被盗、丢失、流散、泄漏等事故，驾驶员未按要求进行应急处置并报告的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《道路危险货物运输管理规定》(2019)第四十八条</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20</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ascii="宋体" w:hAnsi="宋体" w:eastAsia="宋体" w:cs="宋体"/>
                <w:color w:val="auto"/>
                <w:sz w:val="21"/>
                <w:szCs w:val="21"/>
                <w:lang w:eastAsia="zh-CN" w:bidi="ar-SA"/>
              </w:rPr>
              <w:t>AQ</w:t>
            </w:r>
            <w:r>
              <w:rPr>
                <w:rFonts w:hint="eastAsia" w:ascii="宋体" w:hAnsi="宋体" w:eastAsia="宋体" w:cs="宋体"/>
                <w:color w:val="auto"/>
                <w:sz w:val="21"/>
                <w:szCs w:val="21"/>
                <w:lang w:eastAsia="zh-CN" w:bidi="ar-SA"/>
              </w:rPr>
              <w:t>SC</w:t>
            </w:r>
            <w:r>
              <w:rPr>
                <w:rFonts w:ascii="宋体" w:hAnsi="宋体" w:eastAsia="宋体" w:cs="宋体"/>
                <w:color w:val="auto"/>
                <w:sz w:val="21"/>
                <w:szCs w:val="21"/>
                <w:lang w:eastAsia="zh-CN" w:bidi="ar-SA"/>
              </w:rPr>
              <w:t xml:space="preserve"> -2</w:t>
            </w:r>
          </w:p>
        </w:tc>
      </w:tr>
      <w:tr>
        <w:tblPrEx>
          <w:tblCellMar>
            <w:top w:w="15" w:type="dxa"/>
            <w:left w:w="15" w:type="dxa"/>
            <w:bottom w:w="15" w:type="dxa"/>
            <w:right w:w="15" w:type="dxa"/>
          </w:tblCellMar>
        </w:tblPrEx>
        <w:trPr>
          <w:trHeight w:val="313"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3</w:t>
            </w:r>
          </w:p>
        </w:tc>
        <w:tc>
          <w:tcPr>
            <w:tcW w:w="635" w:type="dxa"/>
            <w:vMerge w:val="continue"/>
            <w:tcBorders>
              <w:left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从事道路运输经营活动过程中，有道路交通安全违法行为一次记12分的记分项目</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《机动车驾驶证申领和使用规定》第六十五条</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 xml:space="preserve"> 公安交管部门业务系统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20</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ascii="宋体" w:hAnsi="宋体" w:eastAsia="宋体" w:cs="宋体"/>
                <w:color w:val="auto"/>
                <w:sz w:val="21"/>
                <w:szCs w:val="21"/>
                <w:lang w:eastAsia="zh-CN" w:bidi="ar-SA"/>
              </w:rPr>
              <w:t>AQ</w:t>
            </w:r>
            <w:r>
              <w:rPr>
                <w:rFonts w:hint="eastAsia" w:ascii="宋体" w:hAnsi="宋体" w:eastAsia="宋体" w:cs="宋体"/>
                <w:color w:val="auto"/>
                <w:sz w:val="21"/>
                <w:szCs w:val="21"/>
                <w:lang w:eastAsia="zh-CN" w:bidi="ar-SA"/>
              </w:rPr>
              <w:t>SC</w:t>
            </w:r>
            <w:r>
              <w:rPr>
                <w:rFonts w:ascii="宋体" w:hAnsi="宋体" w:eastAsia="宋体" w:cs="宋体"/>
                <w:color w:val="auto"/>
                <w:sz w:val="21"/>
                <w:szCs w:val="21"/>
                <w:lang w:eastAsia="zh-CN" w:bidi="ar-SA"/>
              </w:rPr>
              <w:t xml:space="preserve"> -3</w:t>
            </w:r>
          </w:p>
        </w:tc>
      </w:tr>
      <w:tr>
        <w:tblPrEx>
          <w:tblCellMar>
            <w:top w:w="15" w:type="dxa"/>
            <w:left w:w="15" w:type="dxa"/>
            <w:bottom w:w="15" w:type="dxa"/>
            <w:right w:w="15" w:type="dxa"/>
          </w:tblCellMar>
        </w:tblPrEx>
        <w:trPr>
          <w:trHeight w:val="313"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4</w:t>
            </w:r>
          </w:p>
        </w:tc>
        <w:tc>
          <w:tcPr>
            <w:tcW w:w="635" w:type="dxa"/>
            <w:vMerge w:val="continue"/>
            <w:tcBorders>
              <w:left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从事道路运输经营活动，发生重大以上道路交通事故，且负次要责任的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《机动车驾驶证申领和使用规定》、《道路运输驾驶员诚信考核办法（试行）》</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公安交管部门业务系统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10</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ascii="宋体" w:hAnsi="宋体" w:eastAsia="宋体" w:cs="宋体"/>
                <w:color w:val="auto"/>
                <w:sz w:val="21"/>
                <w:szCs w:val="21"/>
                <w:lang w:eastAsia="zh-CN" w:bidi="ar-SA"/>
              </w:rPr>
              <w:t>AQ</w:t>
            </w:r>
            <w:r>
              <w:rPr>
                <w:rFonts w:hint="eastAsia" w:ascii="宋体" w:hAnsi="宋体" w:eastAsia="宋体" w:cs="宋体"/>
                <w:color w:val="auto"/>
                <w:sz w:val="21"/>
                <w:szCs w:val="21"/>
                <w:lang w:eastAsia="zh-CN" w:bidi="ar-SA"/>
              </w:rPr>
              <w:t>SC</w:t>
            </w:r>
            <w:r>
              <w:rPr>
                <w:rFonts w:ascii="宋体" w:hAnsi="宋体" w:eastAsia="宋体" w:cs="宋体"/>
                <w:color w:val="auto"/>
                <w:sz w:val="21"/>
                <w:szCs w:val="21"/>
                <w:lang w:eastAsia="zh-CN" w:bidi="ar-SA"/>
              </w:rPr>
              <w:t xml:space="preserve"> -4</w:t>
            </w:r>
          </w:p>
        </w:tc>
      </w:tr>
      <w:tr>
        <w:tblPrEx>
          <w:tblCellMar>
            <w:top w:w="15" w:type="dxa"/>
            <w:left w:w="15" w:type="dxa"/>
            <w:bottom w:w="15" w:type="dxa"/>
            <w:right w:w="15" w:type="dxa"/>
          </w:tblCellMar>
        </w:tblPrEx>
        <w:trPr>
          <w:trHeight w:val="313"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5</w:t>
            </w:r>
          </w:p>
        </w:tc>
        <w:tc>
          <w:tcPr>
            <w:tcW w:w="635" w:type="dxa"/>
            <w:vMerge w:val="continue"/>
            <w:tcBorders>
              <w:left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从事道路运输经营活动，发生较大道路交通事故，且负同等及以上责任的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《机动车驾驶证申领和使用规定》、《道路运输驾驶员诚信考核办法（试行）》</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公安交管部门业务系统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10</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ascii="宋体" w:hAnsi="宋体" w:eastAsia="宋体" w:cs="宋体"/>
                <w:color w:val="auto"/>
                <w:sz w:val="21"/>
                <w:szCs w:val="21"/>
                <w:lang w:eastAsia="zh-CN" w:bidi="ar-SA"/>
              </w:rPr>
              <w:t>AQ</w:t>
            </w:r>
            <w:r>
              <w:rPr>
                <w:rFonts w:hint="eastAsia" w:ascii="宋体" w:hAnsi="宋体" w:eastAsia="宋体" w:cs="宋体"/>
                <w:color w:val="auto"/>
                <w:sz w:val="21"/>
                <w:szCs w:val="21"/>
                <w:lang w:eastAsia="zh-CN" w:bidi="ar-SA"/>
              </w:rPr>
              <w:t>SC</w:t>
            </w:r>
            <w:r>
              <w:rPr>
                <w:rFonts w:ascii="宋体" w:hAnsi="宋体" w:eastAsia="宋体" w:cs="宋体"/>
                <w:color w:val="auto"/>
                <w:sz w:val="21"/>
                <w:szCs w:val="21"/>
                <w:lang w:eastAsia="zh-CN" w:bidi="ar-SA"/>
              </w:rPr>
              <w:t xml:space="preserve"> -5</w:t>
            </w:r>
          </w:p>
        </w:tc>
      </w:tr>
      <w:tr>
        <w:tblPrEx>
          <w:tblCellMar>
            <w:top w:w="15" w:type="dxa"/>
            <w:left w:w="15" w:type="dxa"/>
            <w:bottom w:w="15" w:type="dxa"/>
            <w:right w:w="15" w:type="dxa"/>
          </w:tblCellMar>
        </w:tblPrEx>
        <w:trPr>
          <w:trHeight w:val="313"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6</w:t>
            </w:r>
          </w:p>
        </w:tc>
        <w:tc>
          <w:tcPr>
            <w:tcW w:w="635" w:type="dxa"/>
            <w:vMerge w:val="continue"/>
            <w:tcBorders>
              <w:left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从事道路运输经营活动过程中，有道路交通安全违法行为机动车驾驶证一次记6分或9分的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《机动车驾驶证申领和使用规定》第六十五条</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公安交管部门业务系统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10</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ascii="宋体" w:hAnsi="宋体" w:eastAsia="宋体" w:cs="宋体"/>
                <w:color w:val="auto"/>
                <w:sz w:val="21"/>
                <w:szCs w:val="21"/>
                <w:lang w:eastAsia="zh-CN" w:bidi="ar-SA"/>
              </w:rPr>
              <w:t>AQ</w:t>
            </w:r>
            <w:r>
              <w:rPr>
                <w:rFonts w:hint="eastAsia" w:ascii="宋体" w:hAnsi="宋体" w:eastAsia="宋体" w:cs="宋体"/>
                <w:color w:val="auto"/>
                <w:sz w:val="21"/>
                <w:szCs w:val="21"/>
                <w:lang w:eastAsia="zh-CN" w:bidi="ar-SA"/>
              </w:rPr>
              <w:t>SC</w:t>
            </w:r>
            <w:r>
              <w:rPr>
                <w:rFonts w:ascii="宋体" w:hAnsi="宋体" w:eastAsia="宋体" w:cs="宋体"/>
                <w:color w:val="auto"/>
                <w:sz w:val="21"/>
                <w:szCs w:val="21"/>
                <w:lang w:eastAsia="zh-CN" w:bidi="ar-SA"/>
              </w:rPr>
              <w:t xml:space="preserve"> -6</w:t>
            </w:r>
          </w:p>
        </w:tc>
      </w:tr>
      <w:tr>
        <w:tblPrEx>
          <w:tblCellMar>
            <w:top w:w="15" w:type="dxa"/>
            <w:left w:w="15" w:type="dxa"/>
            <w:bottom w:w="15" w:type="dxa"/>
            <w:right w:w="15" w:type="dxa"/>
          </w:tblCellMar>
        </w:tblPrEx>
        <w:trPr>
          <w:trHeight w:val="313"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7</w:t>
            </w:r>
          </w:p>
        </w:tc>
        <w:tc>
          <w:tcPr>
            <w:tcW w:w="635" w:type="dxa"/>
            <w:vMerge w:val="continue"/>
            <w:tcBorders>
              <w:left w:val="single" w:color="auto" w:sz="4" w:space="0"/>
              <w:bottom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从事道路运输经营活动，发生较大道路交通事故，且负次要责任的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《机动车驾驶证申领和使用规定》《道路运输驾驶员诚信考核办法（试行）》</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公安交管部门业务系统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5</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ascii="宋体" w:hAnsi="宋体" w:eastAsia="宋体" w:cs="宋体"/>
                <w:color w:val="auto"/>
                <w:sz w:val="21"/>
                <w:szCs w:val="21"/>
                <w:lang w:eastAsia="zh-CN" w:bidi="ar-SA"/>
              </w:rPr>
              <w:t>AQ</w:t>
            </w:r>
            <w:r>
              <w:rPr>
                <w:rFonts w:hint="eastAsia" w:ascii="宋体" w:hAnsi="宋体" w:eastAsia="宋体" w:cs="宋体"/>
                <w:color w:val="auto"/>
                <w:sz w:val="21"/>
                <w:szCs w:val="21"/>
                <w:lang w:eastAsia="zh-CN" w:bidi="ar-SA"/>
              </w:rPr>
              <w:t>SC</w:t>
            </w:r>
            <w:r>
              <w:rPr>
                <w:rFonts w:ascii="宋体" w:hAnsi="宋体" w:eastAsia="宋体" w:cs="宋体"/>
                <w:color w:val="auto"/>
                <w:sz w:val="21"/>
                <w:szCs w:val="21"/>
                <w:lang w:eastAsia="zh-CN" w:bidi="ar-SA"/>
              </w:rPr>
              <w:t xml:space="preserve"> -7</w:t>
            </w:r>
          </w:p>
        </w:tc>
      </w:tr>
      <w:tr>
        <w:tblPrEx>
          <w:tblCellMar>
            <w:top w:w="15" w:type="dxa"/>
            <w:left w:w="15" w:type="dxa"/>
            <w:bottom w:w="15" w:type="dxa"/>
            <w:right w:w="15" w:type="dxa"/>
          </w:tblCellMar>
        </w:tblPrEx>
        <w:trPr>
          <w:trHeight w:val="313"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8</w:t>
            </w:r>
          </w:p>
        </w:tc>
        <w:tc>
          <w:tcPr>
            <w:tcW w:w="635" w:type="dxa"/>
            <w:vMerge w:val="restart"/>
            <w:tcBorders>
              <w:top w:val="single" w:color="auto" w:sz="4" w:space="0"/>
              <w:left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遵守法规</w:t>
            </w: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转让、出租从业资格证件的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《中华人民共和国道路运输条例》第六十六条</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20</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ascii="宋体" w:hAnsi="宋体" w:eastAsia="宋体" w:cs="宋体"/>
                <w:color w:val="auto"/>
                <w:sz w:val="21"/>
                <w:szCs w:val="21"/>
                <w:lang w:eastAsia="zh-CN" w:bidi="ar-SA"/>
              </w:rPr>
              <w:t>-1</w:t>
            </w:r>
          </w:p>
        </w:tc>
      </w:tr>
      <w:tr>
        <w:tblPrEx>
          <w:tblCellMar>
            <w:top w:w="15" w:type="dxa"/>
            <w:left w:w="15" w:type="dxa"/>
            <w:bottom w:w="15" w:type="dxa"/>
            <w:right w:w="15" w:type="dxa"/>
          </w:tblCellMar>
        </w:tblPrEx>
        <w:trPr>
          <w:trHeight w:val="313"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9</w:t>
            </w:r>
          </w:p>
        </w:tc>
        <w:tc>
          <w:tcPr>
            <w:tcW w:w="635" w:type="dxa"/>
            <w:vMerge w:val="continue"/>
            <w:tcBorders>
              <w:left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超越从业资格证件核定范围，从事道路运输活动的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《道路运输从业人员管理规定》（2019年）第四十五条第（三）项</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20</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ascii="宋体" w:hAnsi="宋体" w:eastAsia="宋体" w:cs="宋体"/>
                <w:color w:val="auto"/>
                <w:sz w:val="21"/>
                <w:szCs w:val="21"/>
                <w:lang w:eastAsia="zh-CN" w:bidi="ar-SA"/>
              </w:rPr>
              <w:t xml:space="preserve"> -2</w:t>
            </w:r>
          </w:p>
        </w:tc>
      </w:tr>
      <w:tr>
        <w:tblPrEx>
          <w:tblCellMar>
            <w:top w:w="15" w:type="dxa"/>
            <w:left w:w="15" w:type="dxa"/>
            <w:bottom w:w="15" w:type="dxa"/>
            <w:right w:w="15" w:type="dxa"/>
          </w:tblCellMar>
        </w:tblPrEx>
        <w:trPr>
          <w:trHeight w:val="313"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10</w:t>
            </w:r>
          </w:p>
        </w:tc>
        <w:tc>
          <w:tcPr>
            <w:tcW w:w="635" w:type="dxa"/>
            <w:vMerge w:val="continue"/>
            <w:tcBorders>
              <w:left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驾驶未取得《道路运输证》的危险货物运输车辆，从事道路危险货物运输的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《道路货物运输及站场管理规定》（2019）第五十九条</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20</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ascii="宋体" w:hAnsi="宋体" w:eastAsia="宋体" w:cs="宋体"/>
                <w:color w:val="auto"/>
                <w:sz w:val="21"/>
                <w:szCs w:val="21"/>
                <w:lang w:eastAsia="zh-CN" w:bidi="ar-SA"/>
              </w:rPr>
              <w:t xml:space="preserve"> -3</w:t>
            </w:r>
          </w:p>
        </w:tc>
      </w:tr>
      <w:tr>
        <w:tblPrEx>
          <w:tblCellMar>
            <w:top w:w="15" w:type="dxa"/>
            <w:left w:w="15" w:type="dxa"/>
            <w:bottom w:w="15" w:type="dxa"/>
            <w:right w:w="15" w:type="dxa"/>
          </w:tblCellMar>
        </w:tblPrEx>
        <w:trPr>
          <w:trHeight w:val="790"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11</w:t>
            </w:r>
          </w:p>
        </w:tc>
        <w:tc>
          <w:tcPr>
            <w:tcW w:w="635" w:type="dxa"/>
            <w:vMerge w:val="continue"/>
            <w:tcBorders>
              <w:left w:val="single" w:color="auto" w:sz="4" w:space="0"/>
              <w:bottom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驾驶无《道路运输证》的车辆，从事道路旅客或者货物运输经营活动的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《道路旅客运输及客运站管理规定》（2020年第九十七条、《道路货物运输及站场管理规定》第五十九条第一款</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10</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ascii="宋体" w:hAnsi="宋体" w:eastAsia="宋体" w:cs="宋体"/>
                <w:color w:val="auto"/>
                <w:sz w:val="21"/>
                <w:szCs w:val="21"/>
                <w:lang w:eastAsia="zh-CN" w:bidi="ar-SA"/>
              </w:rPr>
              <w:t xml:space="preserve"> -4</w:t>
            </w:r>
          </w:p>
        </w:tc>
      </w:tr>
      <w:tr>
        <w:tblPrEx>
          <w:tblCellMar>
            <w:top w:w="15" w:type="dxa"/>
            <w:left w:w="15" w:type="dxa"/>
            <w:bottom w:w="15" w:type="dxa"/>
            <w:right w:w="15" w:type="dxa"/>
          </w:tblCellMar>
        </w:tblPrEx>
        <w:trPr>
          <w:trHeight w:val="313"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12</w:t>
            </w:r>
          </w:p>
        </w:tc>
        <w:tc>
          <w:tcPr>
            <w:tcW w:w="635" w:type="dxa"/>
            <w:vMerge w:val="continue"/>
            <w:tcBorders>
              <w:top w:val="single" w:color="auto" w:sz="4" w:space="0"/>
              <w:left w:val="single" w:color="auto" w:sz="4" w:space="0"/>
              <w:bottom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驾驶无包车客运标志牌的车辆，从事客运包车经营的</w:t>
            </w:r>
          </w:p>
        </w:tc>
        <w:tc>
          <w:tcPr>
            <w:tcW w:w="1984"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《道路旅客运输及客运站管理规定》（2020年第一百条第（七）项</w:t>
            </w:r>
          </w:p>
        </w:tc>
        <w:tc>
          <w:tcPr>
            <w:tcW w:w="1436" w:type="dxa"/>
            <w:tcBorders>
              <w:top w:val="single" w:color="000000" w:sz="2" w:space="0"/>
              <w:left w:val="single" w:color="000000" w:sz="2" w:space="0"/>
              <w:bottom w:val="single" w:color="auto" w:sz="4"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10</w:t>
            </w:r>
          </w:p>
        </w:tc>
        <w:tc>
          <w:tcPr>
            <w:tcW w:w="1066"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ascii="宋体" w:hAnsi="宋体" w:eastAsia="宋体" w:cs="宋体"/>
                <w:color w:val="auto"/>
                <w:sz w:val="21"/>
                <w:szCs w:val="21"/>
                <w:lang w:eastAsia="zh-CN" w:bidi="ar-SA"/>
              </w:rPr>
              <w:t xml:space="preserve"> -5</w:t>
            </w:r>
          </w:p>
        </w:tc>
      </w:tr>
      <w:tr>
        <w:tblPrEx>
          <w:tblCellMar>
            <w:top w:w="15" w:type="dxa"/>
            <w:left w:w="15" w:type="dxa"/>
            <w:bottom w:w="15" w:type="dxa"/>
            <w:right w:w="15" w:type="dxa"/>
          </w:tblCellMar>
        </w:tblPrEx>
        <w:trPr>
          <w:trHeight w:val="313"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13</w:t>
            </w:r>
          </w:p>
        </w:tc>
        <w:tc>
          <w:tcPr>
            <w:tcW w:w="635" w:type="dxa"/>
            <w:vMerge w:val="restart"/>
            <w:tcBorders>
              <w:top w:val="single" w:color="auto" w:sz="4" w:space="0"/>
              <w:left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4"/>
                <w:szCs w:val="24"/>
                <w:lang w:eastAsia="zh-CN" w:bidi="ar-SA"/>
              </w:rPr>
              <w:t>遵守法规</w:t>
            </w:r>
          </w:p>
        </w:tc>
        <w:tc>
          <w:tcPr>
            <w:tcW w:w="2081"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驾驶未取得《超限运输车辆通行证》的车辆，从事超限运输经营活动的</w:t>
            </w:r>
          </w:p>
          <w:p>
            <w:pPr>
              <w:spacing w:line="400" w:lineRule="exact"/>
              <w:ind w:firstLine="0"/>
              <w:jc w:val="both"/>
              <w:textAlignment w:val="baseline"/>
              <w:rPr>
                <w:rFonts w:ascii="宋体" w:hAnsi="宋体" w:eastAsia="宋体" w:cs="宋体"/>
                <w:color w:val="auto"/>
                <w:sz w:val="24"/>
                <w:szCs w:val="24"/>
                <w:lang w:eastAsia="zh-CN" w:bidi="ar-SA"/>
              </w:rPr>
            </w:pPr>
          </w:p>
        </w:tc>
        <w:tc>
          <w:tcPr>
            <w:tcW w:w="1984"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《公路安全保护条例》第六十四条</w:t>
            </w:r>
          </w:p>
        </w:tc>
        <w:tc>
          <w:tcPr>
            <w:tcW w:w="1436" w:type="dxa"/>
            <w:tcBorders>
              <w:top w:val="single" w:color="000000" w:sz="2" w:space="0"/>
              <w:left w:val="single" w:color="000000" w:sz="2" w:space="0"/>
              <w:bottom w:val="single" w:color="auto" w:sz="4"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10</w:t>
            </w:r>
          </w:p>
        </w:tc>
        <w:tc>
          <w:tcPr>
            <w:tcW w:w="1066"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hint="eastAsia" w:ascii="宋体" w:hAnsi="宋体" w:eastAsia="宋体" w:cs="宋体"/>
                <w:color w:val="auto"/>
                <w:sz w:val="24"/>
                <w:szCs w:val="24"/>
                <w:lang w:eastAsia="zh-CN" w:bidi="ar-SA"/>
              </w:rPr>
              <w:t xml:space="preserve"> -6</w:t>
            </w:r>
          </w:p>
        </w:tc>
      </w:tr>
      <w:tr>
        <w:tblPrEx>
          <w:tblCellMar>
            <w:top w:w="15" w:type="dxa"/>
            <w:left w:w="15" w:type="dxa"/>
            <w:bottom w:w="15" w:type="dxa"/>
            <w:right w:w="15" w:type="dxa"/>
          </w:tblCellMar>
        </w:tblPrEx>
        <w:trPr>
          <w:trHeight w:val="42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14</w:t>
            </w:r>
          </w:p>
        </w:tc>
        <w:tc>
          <w:tcPr>
            <w:tcW w:w="635" w:type="dxa"/>
            <w:vMerge w:val="continue"/>
            <w:tcBorders>
              <w:left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擅自涂改、伪造、变造从业资格证件上相关记录的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《道路运输从业人员管理规定》第四十五、四十六条</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10</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hint="eastAsia" w:ascii="宋体" w:hAnsi="宋体" w:eastAsia="宋体" w:cs="宋体"/>
                <w:color w:val="auto"/>
                <w:sz w:val="24"/>
                <w:szCs w:val="24"/>
                <w:lang w:eastAsia="zh-CN" w:bidi="ar-SA"/>
              </w:rPr>
              <w:t xml:space="preserve"> -7</w:t>
            </w:r>
          </w:p>
        </w:tc>
      </w:tr>
      <w:tr>
        <w:tblPrEx>
          <w:tblCellMar>
            <w:top w:w="15" w:type="dxa"/>
            <w:left w:w="15" w:type="dxa"/>
            <w:bottom w:w="15" w:type="dxa"/>
            <w:right w:w="15" w:type="dxa"/>
          </w:tblCellMar>
        </w:tblPrEx>
        <w:trPr>
          <w:trHeight w:val="313"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15</w:t>
            </w:r>
          </w:p>
        </w:tc>
        <w:tc>
          <w:tcPr>
            <w:tcW w:w="635" w:type="dxa"/>
            <w:vMerge w:val="continue"/>
            <w:tcBorders>
              <w:left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破坏卫星定位装置、视频监控装置以及恶意人为干扰、 屏蔽卫星定位装置、视频监控装置的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《道路运输车辆动态监督管理办法》第三十八条</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10</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hint="eastAsia" w:ascii="宋体" w:hAnsi="宋体" w:eastAsia="宋体" w:cs="宋体"/>
                <w:color w:val="auto"/>
                <w:sz w:val="24"/>
                <w:szCs w:val="24"/>
                <w:lang w:eastAsia="zh-CN" w:bidi="ar-SA"/>
              </w:rPr>
              <w:t xml:space="preserve"> -8</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16</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驾驶无道路客运班线经营许可的车辆，从事班车客运经营的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《道路旅客运输及客运站管理规定》（2020年）第九十三条第（二）项</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5</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hint="eastAsia" w:ascii="宋体" w:hAnsi="宋体" w:eastAsia="宋体" w:cs="宋体"/>
                <w:color w:val="auto"/>
                <w:sz w:val="24"/>
                <w:szCs w:val="24"/>
                <w:lang w:eastAsia="zh-CN" w:bidi="ar-SA"/>
              </w:rPr>
              <w:t xml:space="preserve"> -9</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17</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超越《道路运输证》上注明的经营类别或者经营范围，从事道路运输经营活动的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《道路旅客运输及客运站管理规定》（2020年）第九十三条第（四）项、《道路货物运输及站场管理规定》第五十七条第（三）项</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5</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hint="eastAsia" w:ascii="宋体" w:hAnsi="宋体" w:eastAsia="宋体" w:cs="宋体"/>
                <w:color w:val="auto"/>
                <w:sz w:val="24"/>
                <w:szCs w:val="24"/>
                <w:lang w:eastAsia="zh-CN" w:bidi="ar-SA"/>
              </w:rPr>
              <w:t xml:space="preserve"> -10</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18</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驾驶擅自改装的车辆，从事道路运输经营活动的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《道路运输车辆技术管理规定》（2019）第三十一条</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5</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hint="eastAsia" w:ascii="宋体" w:hAnsi="宋体" w:eastAsia="宋体" w:cs="宋体"/>
                <w:color w:val="auto"/>
                <w:sz w:val="24"/>
                <w:szCs w:val="24"/>
                <w:lang w:eastAsia="zh-CN" w:bidi="ar-SA"/>
              </w:rPr>
              <w:t>-11</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19</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驾驶客运班车不按批准的客运站点停靠或者不按规定 的线路、班次行驶的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《中华人民共和国道路运输条例》第六十九条第（一）项、《道路旅客运输及客运站管理规定》（2020年）第一百第（一）项</w:t>
            </w:r>
          </w:p>
          <w:p>
            <w:pPr>
              <w:spacing w:line="400" w:lineRule="exact"/>
              <w:ind w:firstLine="0"/>
              <w:textAlignment w:val="baseline"/>
              <w:rPr>
                <w:rFonts w:ascii="宋体" w:hAnsi="宋体" w:eastAsia="宋体" w:cs="宋体"/>
                <w:color w:val="auto"/>
                <w:sz w:val="24"/>
                <w:szCs w:val="24"/>
                <w:lang w:eastAsia="zh-CN" w:bidi="ar-SA"/>
              </w:rPr>
            </w:pP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5</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hint="eastAsia" w:ascii="宋体" w:hAnsi="宋体" w:eastAsia="宋体" w:cs="宋体"/>
                <w:color w:val="auto"/>
                <w:sz w:val="24"/>
                <w:szCs w:val="24"/>
                <w:lang w:eastAsia="zh-CN" w:bidi="ar-SA"/>
              </w:rPr>
              <w:t>-12</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20</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驾驶客运班车凌晨2时至5时违规运行或者虚假接驳的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《道路运输驾驶员诚信考核办法（试行）》</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5</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hint="eastAsia" w:ascii="宋体" w:hAnsi="宋体" w:eastAsia="宋体" w:cs="宋体"/>
                <w:color w:val="auto"/>
                <w:sz w:val="24"/>
                <w:szCs w:val="24"/>
                <w:lang w:eastAsia="zh-CN" w:bidi="ar-SA"/>
              </w:rPr>
              <w:t>-13</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21</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驾驶客运包车未按约定时间、起始地、目的地和线路行驶的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《道路旅客运输及客运站管理规定》2020年第五十七条、第一百条第一款第（七）项</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5</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hint="eastAsia" w:ascii="宋体" w:hAnsi="宋体" w:eastAsia="宋体" w:cs="宋体"/>
                <w:color w:val="auto"/>
                <w:sz w:val="24"/>
                <w:szCs w:val="24"/>
                <w:lang w:eastAsia="zh-CN" w:bidi="ar-SA"/>
              </w:rPr>
              <w:t>-14</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22</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未配合汽车客运站执行车辆安全例行检查以及出站检查制度，擅自驾驶客车出站的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《道路运输驾驶员诚信考核办法（试行）》</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5</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hint="eastAsia" w:ascii="宋体" w:hAnsi="宋体" w:eastAsia="宋体" w:cs="宋体"/>
                <w:color w:val="auto"/>
                <w:sz w:val="24"/>
                <w:szCs w:val="24"/>
                <w:lang w:eastAsia="zh-CN" w:bidi="ar-SA"/>
              </w:rPr>
              <w:t>-15</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23</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在旅客运输途中擅自变更运输车辆或者将旅客移交他人运输的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《中华人民共和国道路运输条例》第六十九条第（三）项、《道路旅客运输及客运站管理规定》（2020年）第一百第（四）至（五）项</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5</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hint="eastAsia" w:ascii="宋体" w:hAnsi="宋体" w:eastAsia="宋体" w:cs="宋体"/>
                <w:color w:val="auto"/>
                <w:sz w:val="24"/>
                <w:szCs w:val="24"/>
                <w:lang w:eastAsia="zh-CN" w:bidi="ar-SA"/>
              </w:rPr>
              <w:t>-16</w:t>
            </w:r>
          </w:p>
        </w:tc>
      </w:tr>
      <w:tr>
        <w:tblPrEx>
          <w:tblCellMar>
            <w:top w:w="15" w:type="dxa"/>
            <w:left w:w="15" w:type="dxa"/>
            <w:bottom w:w="15" w:type="dxa"/>
            <w:right w:w="15" w:type="dxa"/>
          </w:tblCellMar>
        </w:tblPrEx>
        <w:trPr>
          <w:trHeight w:val="1434"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24</w:t>
            </w:r>
          </w:p>
        </w:tc>
        <w:tc>
          <w:tcPr>
            <w:tcW w:w="635" w:type="dxa"/>
            <w:vMerge w:val="continue"/>
            <w:tcBorders>
              <w:left w:val="single" w:color="auto" w:sz="4" w:space="0"/>
              <w:bottom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驾驶的危险货物运输车辆未按照危险化学品的特性采取必要安全防护措施的</w:t>
            </w:r>
          </w:p>
        </w:tc>
        <w:tc>
          <w:tcPr>
            <w:tcW w:w="1984"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《道路危险货物运输管理规定》(2019修正)第六十条第（三）项</w:t>
            </w:r>
          </w:p>
        </w:tc>
        <w:tc>
          <w:tcPr>
            <w:tcW w:w="1436" w:type="dxa"/>
            <w:tcBorders>
              <w:top w:val="single" w:color="000000" w:sz="2" w:space="0"/>
              <w:left w:val="single" w:color="000000" w:sz="2" w:space="0"/>
              <w:bottom w:val="single" w:color="auto" w:sz="4"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5</w:t>
            </w:r>
          </w:p>
        </w:tc>
        <w:tc>
          <w:tcPr>
            <w:tcW w:w="1066"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hint="eastAsia" w:ascii="宋体" w:hAnsi="宋体" w:eastAsia="宋体" w:cs="宋体"/>
                <w:color w:val="auto"/>
                <w:sz w:val="24"/>
                <w:szCs w:val="24"/>
                <w:lang w:eastAsia="zh-CN" w:bidi="ar-SA"/>
              </w:rPr>
              <w:t>-17</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25</w:t>
            </w:r>
          </w:p>
        </w:tc>
        <w:tc>
          <w:tcPr>
            <w:tcW w:w="635" w:type="dxa"/>
            <w:vMerge w:val="restart"/>
            <w:tcBorders>
              <w:top w:val="single" w:color="auto" w:sz="4" w:space="0"/>
              <w:left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遵守法规</w:t>
            </w: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没有采取必要措施防止货物脱落、扬撒的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《中华人民共和国道路运输条例》第六十九条第（五）项、《道路货物运输及站场管理规定》六十一条第（二）项</w:t>
            </w:r>
          </w:p>
          <w:p>
            <w:pPr>
              <w:spacing w:line="400" w:lineRule="exact"/>
              <w:ind w:firstLine="0"/>
              <w:textAlignment w:val="baseline"/>
              <w:rPr>
                <w:rFonts w:ascii="宋体" w:hAnsi="宋体" w:eastAsia="宋体" w:cs="宋体"/>
                <w:color w:val="auto"/>
                <w:sz w:val="24"/>
                <w:szCs w:val="24"/>
                <w:lang w:eastAsia="zh-CN" w:bidi="ar-SA"/>
              </w:rPr>
            </w:pP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3</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hint="eastAsia" w:ascii="宋体" w:hAnsi="宋体" w:eastAsia="宋体" w:cs="宋体"/>
                <w:color w:val="auto"/>
                <w:sz w:val="24"/>
                <w:szCs w:val="24"/>
                <w:lang w:eastAsia="zh-CN" w:bidi="ar-SA"/>
              </w:rPr>
              <w:t>-18</w:t>
            </w:r>
          </w:p>
        </w:tc>
      </w:tr>
      <w:tr>
        <w:tblPrEx>
          <w:tblCellMar>
            <w:top w:w="15" w:type="dxa"/>
            <w:left w:w="15" w:type="dxa"/>
            <w:bottom w:w="15" w:type="dxa"/>
            <w:right w:w="15" w:type="dxa"/>
          </w:tblCellMar>
        </w:tblPrEx>
        <w:trPr>
          <w:trHeight w:val="540"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26</w:t>
            </w:r>
          </w:p>
        </w:tc>
        <w:tc>
          <w:tcPr>
            <w:tcW w:w="635" w:type="dxa"/>
            <w:vMerge w:val="continue"/>
            <w:tcBorders>
              <w:left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驾驶未按规定维护、检测的车辆，从事道路运输经营活动的</w:t>
            </w:r>
          </w:p>
        </w:tc>
        <w:tc>
          <w:tcPr>
            <w:tcW w:w="1984"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《中华人民共和国道路运输条例》第七十条第一款</w:t>
            </w:r>
          </w:p>
        </w:tc>
        <w:tc>
          <w:tcPr>
            <w:tcW w:w="1436" w:type="dxa"/>
            <w:tcBorders>
              <w:top w:val="single" w:color="000000" w:sz="2" w:space="0"/>
              <w:left w:val="single" w:color="000000" w:sz="2" w:space="0"/>
              <w:bottom w:val="single" w:color="auto" w:sz="4"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3</w:t>
            </w:r>
          </w:p>
        </w:tc>
        <w:tc>
          <w:tcPr>
            <w:tcW w:w="1066"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ascii="宋体" w:hAnsi="宋体" w:eastAsia="宋体" w:cs="宋体"/>
                <w:color w:val="auto"/>
                <w:sz w:val="24"/>
                <w:szCs w:val="24"/>
                <w:lang w:eastAsia="zh-CN" w:bidi="ar-SA"/>
              </w:rPr>
              <w:t>-19</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27</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驾驶未按规定投保承运人责任险的车辆，从事道路旅客或者危险货物运输经营活动的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《中华人民共和国道路运输条例》第六十七条</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3</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ascii="宋体" w:hAnsi="宋体" w:eastAsia="宋体" w:cs="宋体"/>
                <w:color w:val="auto"/>
                <w:sz w:val="24"/>
                <w:szCs w:val="24"/>
                <w:lang w:eastAsia="zh-CN" w:bidi="ar-SA"/>
              </w:rPr>
              <w:t>-20</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28</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经营性道路旅客运输驾驶员24小时累计驾驶时间超过8个小时，日间连续驾驶超过4个小时，夜间连续驾驶超过2个小时，每次停车休息时间少于20分钟的；经营性道路货物运输驾驶员和道路危险货物运输驾驶员连续驾驶时间超过4个小时，每次停车休息时间少于20分钟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《中华人民共和国道路运输条例》第二十八条、《道路运输车辆动态监督管理办法》第二十五条</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道路运输车辆卫星定位监控系统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3</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ascii="宋体" w:hAnsi="宋体" w:eastAsia="宋体" w:cs="宋体"/>
                <w:color w:val="auto"/>
                <w:sz w:val="24"/>
                <w:szCs w:val="24"/>
                <w:lang w:eastAsia="zh-CN" w:bidi="ar-SA"/>
              </w:rPr>
              <w:t>-21</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29</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未按规定随车携带《道路客运班线经营许可信息表》，从事班线客运经营的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《道路运输驾驶员诚信考核办法（试行）》</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1</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tcPr>
          <w:p>
            <w:pPr>
              <w:spacing w:line="400" w:lineRule="exact"/>
              <w:ind w:firstLine="0"/>
              <w:jc w:val="center"/>
              <w:textAlignment w:val="baseline"/>
              <w:rPr>
                <w:rFonts w:ascii="宋体" w:hAnsi="宋体" w:eastAsia="宋体" w:cs="宋体"/>
                <w:color w:val="auto"/>
                <w:sz w:val="21"/>
                <w:szCs w:val="21"/>
                <w:lang w:eastAsia="zh-CN" w:bidi="ar-SA"/>
              </w:rPr>
            </w:pPr>
          </w:p>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ascii="宋体" w:hAnsi="宋体" w:eastAsia="宋体" w:cs="宋体"/>
                <w:color w:val="auto"/>
                <w:sz w:val="24"/>
                <w:szCs w:val="24"/>
                <w:lang w:eastAsia="zh-CN" w:bidi="ar-SA"/>
              </w:rPr>
              <w:t>-22</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30</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未在规定位置放置客运标志牌，从事道路旅客运输经营活动的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《道路旅客运输及客运站管理规定》（2020年）第五十四条</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p>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p>
            <w:pPr>
              <w:spacing w:line="400" w:lineRule="exact"/>
              <w:ind w:firstLine="0"/>
              <w:jc w:val="center"/>
              <w:textAlignment w:val="baseline"/>
              <w:rPr>
                <w:rFonts w:ascii="宋体" w:hAnsi="宋体" w:eastAsia="宋体" w:cs="宋体"/>
                <w:color w:val="auto"/>
                <w:sz w:val="21"/>
                <w:szCs w:val="21"/>
                <w:lang w:eastAsia="zh-CN" w:bidi="ar-SA"/>
              </w:rPr>
            </w:pP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1</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tcPr>
          <w:p>
            <w:pPr>
              <w:spacing w:line="400" w:lineRule="exact"/>
              <w:ind w:firstLine="0"/>
              <w:jc w:val="center"/>
              <w:textAlignment w:val="baseline"/>
              <w:rPr>
                <w:rFonts w:ascii="宋体" w:hAnsi="宋体" w:eastAsia="宋体" w:cs="宋体"/>
                <w:color w:val="auto"/>
                <w:sz w:val="21"/>
                <w:szCs w:val="21"/>
                <w:lang w:eastAsia="zh-CN" w:bidi="ar-SA"/>
              </w:rPr>
            </w:pPr>
          </w:p>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ascii="宋体" w:hAnsi="宋体" w:eastAsia="宋体" w:cs="宋体"/>
                <w:color w:val="auto"/>
                <w:sz w:val="24"/>
                <w:szCs w:val="24"/>
                <w:lang w:eastAsia="zh-CN" w:bidi="ar-SA"/>
              </w:rPr>
              <w:t>-23</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31</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道路危险货物运输驾驶员未按照规定随车携带《道路 运输危险货物安全卡》的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《道路运输从业人员管理规定》第三十九条</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1</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tcPr>
          <w:p>
            <w:pPr>
              <w:spacing w:line="400" w:lineRule="exact"/>
              <w:ind w:firstLine="0"/>
              <w:jc w:val="center"/>
              <w:textAlignment w:val="baseline"/>
              <w:rPr>
                <w:rFonts w:ascii="宋体" w:hAnsi="宋体" w:eastAsia="宋体" w:cs="宋体"/>
                <w:color w:val="auto"/>
                <w:sz w:val="21"/>
                <w:szCs w:val="21"/>
                <w:lang w:eastAsia="zh-CN" w:bidi="ar-SA"/>
              </w:rPr>
            </w:pPr>
          </w:p>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ascii="宋体" w:hAnsi="宋体" w:eastAsia="宋体" w:cs="宋体"/>
                <w:color w:val="auto"/>
                <w:sz w:val="24"/>
                <w:szCs w:val="24"/>
                <w:lang w:eastAsia="zh-CN" w:bidi="ar-SA"/>
              </w:rPr>
              <w:t>-24</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32</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道路危险货物运输驾驶员未按规定随车携带危险货物运单的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《道路运输驾驶员诚信考核办法（试行）》</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1</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tcPr>
          <w:p>
            <w:pPr>
              <w:spacing w:line="400" w:lineRule="exact"/>
              <w:ind w:firstLine="0"/>
              <w:jc w:val="center"/>
              <w:textAlignment w:val="baseline"/>
              <w:rPr>
                <w:rFonts w:ascii="宋体" w:hAnsi="宋体" w:eastAsia="宋体" w:cs="宋体"/>
                <w:color w:val="auto"/>
                <w:sz w:val="21"/>
                <w:szCs w:val="21"/>
                <w:lang w:eastAsia="zh-CN" w:bidi="ar-SA"/>
              </w:rPr>
            </w:pPr>
          </w:p>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ascii="宋体" w:hAnsi="宋体" w:eastAsia="宋体" w:cs="宋体"/>
                <w:color w:val="auto"/>
                <w:sz w:val="24"/>
                <w:szCs w:val="24"/>
                <w:lang w:eastAsia="zh-CN" w:bidi="ar-SA"/>
              </w:rPr>
              <w:t>-25</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33</w:t>
            </w:r>
          </w:p>
        </w:tc>
        <w:tc>
          <w:tcPr>
            <w:tcW w:w="635" w:type="dxa"/>
            <w:vMerge w:val="continue"/>
            <w:tcBorders>
              <w:left w:val="single" w:color="auto" w:sz="4" w:space="0"/>
              <w:bottom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一类、二类道路客运班线以及包车客运驾驶员未按规 定填写行车日志的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《道路运输驾驶员诚信考核办法（试行）》</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p>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交通执法系统</w:t>
            </w:r>
          </w:p>
          <w:p>
            <w:pPr>
              <w:spacing w:line="400" w:lineRule="exact"/>
              <w:ind w:firstLine="0"/>
              <w:jc w:val="center"/>
              <w:textAlignment w:val="baseline"/>
              <w:rPr>
                <w:rFonts w:ascii="宋体" w:hAnsi="宋体" w:eastAsia="宋体" w:cs="宋体"/>
                <w:color w:val="auto"/>
                <w:sz w:val="21"/>
                <w:szCs w:val="21"/>
                <w:lang w:eastAsia="zh-CN" w:bidi="ar-SA"/>
              </w:rPr>
            </w:pP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1</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tcPr>
          <w:p>
            <w:pPr>
              <w:spacing w:line="400" w:lineRule="exact"/>
              <w:ind w:firstLine="0"/>
              <w:jc w:val="center"/>
              <w:textAlignment w:val="baseline"/>
              <w:rPr>
                <w:rFonts w:ascii="宋体" w:hAnsi="宋体" w:eastAsia="宋体" w:cs="宋体"/>
                <w:color w:val="auto"/>
                <w:sz w:val="21"/>
                <w:szCs w:val="21"/>
                <w:lang w:eastAsia="zh-CN" w:bidi="ar-SA"/>
              </w:rPr>
            </w:pPr>
          </w:p>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ZS</w:t>
            </w:r>
            <w:r>
              <w:rPr>
                <w:rFonts w:ascii="宋体" w:hAnsi="宋体" w:eastAsia="宋体" w:cs="宋体"/>
                <w:color w:val="auto"/>
                <w:sz w:val="21"/>
                <w:szCs w:val="21"/>
                <w:lang w:eastAsia="zh-CN" w:bidi="ar-SA"/>
              </w:rPr>
              <w:t>F</w:t>
            </w:r>
            <w:r>
              <w:rPr>
                <w:rFonts w:hint="eastAsia" w:ascii="宋体" w:hAnsi="宋体" w:eastAsia="宋体" w:cs="宋体"/>
                <w:color w:val="auto"/>
                <w:sz w:val="21"/>
                <w:szCs w:val="21"/>
                <w:lang w:eastAsia="zh-CN" w:bidi="ar-SA"/>
              </w:rPr>
              <w:t>G</w:t>
            </w:r>
            <w:r>
              <w:rPr>
                <w:rFonts w:ascii="宋体" w:hAnsi="宋体" w:eastAsia="宋体" w:cs="宋体"/>
                <w:color w:val="auto"/>
                <w:sz w:val="24"/>
                <w:szCs w:val="24"/>
                <w:lang w:eastAsia="zh-CN" w:bidi="ar-SA"/>
              </w:rPr>
              <w:t>-26</w:t>
            </w:r>
          </w:p>
        </w:tc>
      </w:tr>
      <w:tr>
        <w:tblPrEx>
          <w:tblCellMar>
            <w:top w:w="15" w:type="dxa"/>
            <w:left w:w="15" w:type="dxa"/>
            <w:bottom w:w="15" w:type="dxa"/>
            <w:right w:w="15" w:type="dxa"/>
          </w:tblCellMar>
        </w:tblPrEx>
        <w:trPr>
          <w:trHeight w:val="1038"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34</w:t>
            </w:r>
          </w:p>
        </w:tc>
        <w:tc>
          <w:tcPr>
            <w:tcW w:w="635" w:type="dxa"/>
            <w:vMerge w:val="restart"/>
            <w:tcBorders>
              <w:top w:val="single" w:color="auto" w:sz="4" w:space="0"/>
              <w:left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服务质量</w:t>
            </w:r>
          </w:p>
          <w:p>
            <w:pPr>
              <w:spacing w:line="600" w:lineRule="exact"/>
              <w:ind w:firstLine="0"/>
              <w:jc w:val="center"/>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本次服务质量信誉考核过程中发现其有弄虚作假、隐瞒相关考核情况，且情节严重的。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《道路运输驾驶员诚信考核办法（试行）》</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运证信息网</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20</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4"/>
                <w:szCs w:val="24"/>
                <w:lang w:eastAsia="zh-CN" w:bidi="ar-SA"/>
              </w:rPr>
              <w:t>FWZL-1</w:t>
            </w:r>
          </w:p>
        </w:tc>
      </w:tr>
      <w:tr>
        <w:tblPrEx>
          <w:tblCellMar>
            <w:top w:w="15" w:type="dxa"/>
            <w:left w:w="15" w:type="dxa"/>
            <w:bottom w:w="15" w:type="dxa"/>
            <w:right w:w="15" w:type="dxa"/>
          </w:tblCellMar>
        </w:tblPrEx>
        <w:trPr>
          <w:trHeight w:val="958"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35</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有受到省级及以上交通运输主管部门通报批评的服务质量记录的；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《道路运输驾驶员诚信考核办法（试行）》</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运证信息网</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10</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4"/>
                <w:szCs w:val="24"/>
                <w:lang w:eastAsia="zh-CN" w:bidi="ar-SA"/>
              </w:rPr>
              <w:t>FWZL-2</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36</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其他本细则规定的严重失信行为或符合省级以上交通运输主管部门规定的失信联合惩戒对象名单条件的</w:t>
            </w:r>
          </w:p>
        </w:tc>
        <w:tc>
          <w:tcPr>
            <w:tcW w:w="1984"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《道路运输驾驶员诚信考核办法（试行）》</w:t>
            </w:r>
          </w:p>
        </w:tc>
        <w:tc>
          <w:tcPr>
            <w:tcW w:w="1436" w:type="dxa"/>
            <w:tcBorders>
              <w:top w:val="single" w:color="000000" w:sz="2" w:space="0"/>
              <w:left w:val="single" w:color="000000" w:sz="2" w:space="0"/>
              <w:bottom w:val="single" w:color="auto" w:sz="4"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政务服务平台</w:t>
            </w:r>
          </w:p>
        </w:tc>
        <w:tc>
          <w:tcPr>
            <w:tcW w:w="974"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10</w:t>
            </w:r>
          </w:p>
        </w:tc>
        <w:tc>
          <w:tcPr>
            <w:tcW w:w="1066" w:type="dxa"/>
            <w:tcBorders>
              <w:top w:val="single" w:color="000000" w:sz="2" w:space="0"/>
              <w:left w:val="single" w:color="000000" w:sz="2" w:space="0"/>
              <w:bottom w:val="single" w:color="auto" w:sz="4"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4"/>
                <w:szCs w:val="24"/>
                <w:lang w:eastAsia="zh-CN" w:bidi="ar-SA"/>
              </w:rPr>
              <w:t>FWZL-3</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37</w:t>
            </w:r>
          </w:p>
        </w:tc>
        <w:tc>
          <w:tcPr>
            <w:tcW w:w="635" w:type="dxa"/>
            <w:vMerge w:val="continue"/>
            <w:tcBorders>
              <w:left w:val="single" w:color="auto" w:sz="4" w:space="0"/>
              <w:right w:val="single" w:color="000000" w:sz="2"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有受到设区的市级交通运输部门或者道路运输管理机构通报批评的服务记录的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1"/>
                <w:szCs w:val="21"/>
                <w:lang w:eastAsia="zh-CN" w:bidi="ar-SA"/>
              </w:rPr>
            </w:pPr>
          </w:p>
          <w:p>
            <w:pPr>
              <w:spacing w:line="400" w:lineRule="exact"/>
              <w:ind w:firstLine="0"/>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《道路运输驾驶员诚信考核办法（试行）》</w:t>
            </w:r>
          </w:p>
          <w:p>
            <w:pPr>
              <w:spacing w:line="400" w:lineRule="exact"/>
              <w:ind w:firstLine="0"/>
              <w:textAlignment w:val="baseline"/>
              <w:rPr>
                <w:rFonts w:ascii="宋体" w:hAnsi="宋体" w:eastAsia="宋体" w:cs="宋体"/>
                <w:color w:val="auto"/>
                <w:sz w:val="24"/>
                <w:szCs w:val="24"/>
                <w:lang w:eastAsia="zh-CN" w:bidi="ar-SA"/>
              </w:rPr>
            </w:pP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运证信息网</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5</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4"/>
                <w:szCs w:val="24"/>
                <w:lang w:eastAsia="zh-CN" w:bidi="ar-SA"/>
              </w:rPr>
              <w:t>FWZL-4</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38</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有受到县级交通运输主管部门通报批评、行业协会组织公告、有关媒体曝光并经核实的服务质量记录的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《道路运输驾驶员诚信考核办法（试行）》</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运证信息网</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3</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4"/>
                <w:szCs w:val="24"/>
                <w:lang w:eastAsia="zh-CN" w:bidi="ar-SA"/>
              </w:rPr>
              <w:t>FWZL-5</w:t>
            </w:r>
          </w:p>
        </w:tc>
      </w:tr>
      <w:tr>
        <w:tblPrEx>
          <w:tblCellMar>
            <w:top w:w="15" w:type="dxa"/>
            <w:left w:w="15" w:type="dxa"/>
            <w:bottom w:w="15" w:type="dxa"/>
            <w:right w:w="15" w:type="dxa"/>
          </w:tblCellMar>
        </w:tblPrEx>
        <w:trPr>
          <w:trHeight w:val="476" w:hRule="atLeast"/>
        </w:trPr>
        <w:tc>
          <w:tcPr>
            <w:tcW w:w="63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39</w:t>
            </w:r>
          </w:p>
        </w:tc>
        <w:tc>
          <w:tcPr>
            <w:tcW w:w="635" w:type="dxa"/>
            <w:vMerge w:val="continue"/>
            <w:tcBorders>
              <w:left w:val="single" w:color="auto" w:sz="4" w:space="0"/>
              <w:right w:val="single" w:color="000000" w:sz="2" w:space="0"/>
            </w:tcBorders>
          </w:tcPr>
          <w:p>
            <w:pPr>
              <w:spacing w:line="600" w:lineRule="exact"/>
              <w:ind w:firstLine="0"/>
              <w:jc w:val="both"/>
              <w:textAlignment w:val="baseline"/>
              <w:rPr>
                <w:rFonts w:ascii="宋体" w:hAnsi="宋体" w:eastAsia="宋体" w:cs="宋体"/>
                <w:color w:val="auto"/>
                <w:sz w:val="21"/>
                <w:szCs w:val="21"/>
                <w:lang w:eastAsia="zh-CN" w:bidi="ar-SA"/>
              </w:rPr>
            </w:pPr>
          </w:p>
        </w:tc>
        <w:tc>
          <w:tcPr>
            <w:tcW w:w="2081"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both"/>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通过12328交通运输服务监督热线受理以及12345等地方政务服务便民热线转办的投诉举报，经核实属实且有责的</w:t>
            </w:r>
          </w:p>
        </w:tc>
        <w:tc>
          <w:tcPr>
            <w:tcW w:w="198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《道路运输驾驶员诚信考核办法（试行）》</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line="400" w:lineRule="exact"/>
              <w:ind w:firstLine="0"/>
              <w:jc w:val="center"/>
              <w:textAlignment w:val="baseline"/>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12328系统</w:t>
            </w:r>
          </w:p>
        </w:tc>
        <w:tc>
          <w:tcPr>
            <w:tcW w:w="974"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1</w:t>
            </w:r>
          </w:p>
        </w:tc>
        <w:tc>
          <w:tcPr>
            <w:tcW w:w="1066" w:type="dxa"/>
            <w:tcBorders>
              <w:top w:val="single" w:color="000000" w:sz="2" w:space="0"/>
              <w:left w:val="single" w:color="000000" w:sz="2" w:space="0"/>
              <w:bottom w:val="single" w:color="000000" w:sz="2" w:space="0"/>
              <w:right w:val="single" w:color="000000" w:sz="2" w:space="0"/>
            </w:tcBorders>
            <w:tcMar>
              <w:top w:w="0" w:type="dxa"/>
              <w:left w:w="90" w:type="dxa"/>
              <w:bottom w:w="0" w:type="dxa"/>
              <w:right w:w="90" w:type="dxa"/>
            </w:tcMar>
            <w:vAlign w:val="center"/>
          </w:tcPr>
          <w:p>
            <w:pPr>
              <w:spacing w:line="400" w:lineRule="exact"/>
              <w:ind w:firstLine="0"/>
              <w:jc w:val="center"/>
              <w:textAlignment w:val="baseline"/>
              <w:rPr>
                <w:rFonts w:ascii="宋体" w:hAnsi="宋体" w:eastAsia="宋体" w:cs="宋体"/>
                <w:color w:val="auto"/>
                <w:sz w:val="24"/>
                <w:szCs w:val="24"/>
                <w:lang w:eastAsia="zh-CN" w:bidi="ar-SA"/>
              </w:rPr>
            </w:pPr>
            <w:r>
              <w:rPr>
                <w:rFonts w:hint="eastAsia" w:ascii="宋体" w:hAnsi="宋体" w:eastAsia="宋体" w:cs="宋体"/>
                <w:color w:val="auto"/>
                <w:sz w:val="24"/>
                <w:szCs w:val="24"/>
                <w:lang w:eastAsia="zh-CN" w:bidi="ar-SA"/>
              </w:rPr>
              <w:t>FWZL-6</w:t>
            </w:r>
          </w:p>
        </w:tc>
      </w:tr>
      <w:tr>
        <w:tblPrEx>
          <w:tblCellMar>
            <w:top w:w="15" w:type="dxa"/>
            <w:left w:w="15" w:type="dxa"/>
            <w:bottom w:w="15" w:type="dxa"/>
            <w:right w:w="15" w:type="dxa"/>
          </w:tblCellMar>
        </w:tblPrEx>
        <w:trPr>
          <w:trHeight w:val="1151" w:hRule="atLeast"/>
        </w:trPr>
        <w:tc>
          <w:tcPr>
            <w:tcW w:w="8811" w:type="dxa"/>
            <w:gridSpan w:val="7"/>
            <w:tcBorders>
              <w:top w:val="single" w:color="auto" w:sz="4" w:space="0"/>
              <w:left w:val="single" w:color="auto" w:sz="4" w:space="0"/>
              <w:bottom w:val="single" w:color="auto" w:sz="4" w:space="0"/>
              <w:right w:val="single" w:color="000000" w:sz="2" w:space="0"/>
            </w:tcBorders>
            <w:vAlign w:val="center"/>
          </w:tcPr>
          <w:p>
            <w:pPr>
              <w:spacing w:line="400" w:lineRule="exact"/>
              <w:ind w:firstLine="0"/>
              <w:jc w:val="left"/>
              <w:textAlignment w:val="baseline"/>
              <w:rPr>
                <w:rFonts w:hint="eastAsia" w:ascii="宋体" w:hAnsi="宋体" w:eastAsia="宋体" w:cs="宋体"/>
                <w:color w:val="auto"/>
                <w:sz w:val="24"/>
                <w:szCs w:val="24"/>
                <w:lang w:eastAsia="zh-CN" w:bidi="ar-SA"/>
              </w:rPr>
            </w:pPr>
            <w:r>
              <w:rPr>
                <w:rFonts w:hint="eastAsia" w:ascii="宋体" w:hAnsi="宋体" w:eastAsia="宋体" w:cs="宋体"/>
                <w:color w:val="auto"/>
                <w:sz w:val="21"/>
                <w:szCs w:val="21"/>
                <w:lang w:eastAsia="zh-CN" w:bidi="ar-SA"/>
              </w:rPr>
              <w:t>备注：依托综合管理服务平台与“公安交管部门业务系统”“交通执法系统”“道路运输车辆卫星定位监控系统”“运证信息网”“12328系统”等系统对接，最终将有关数据自动归集到“信用管理模块”，实现自动考核。</w:t>
            </w:r>
          </w:p>
        </w:tc>
      </w:tr>
    </w:tbl>
    <w:p>
      <w:pPr>
        <w:spacing w:line="600" w:lineRule="exact"/>
        <w:textAlignment w:val="baseline"/>
        <w:rPr>
          <w:color w:val="auto"/>
          <w:sz w:val="20"/>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tabs>
          <w:tab w:val="left" w:pos="3472"/>
        </w:tabs>
        <w:rPr>
          <w:color w:val="auto"/>
          <w:lang w:eastAsia="zh-CN"/>
        </w:rPr>
      </w:pPr>
      <w:r>
        <w:rPr>
          <w:rFonts w:hint="eastAsia"/>
          <w:color w:val="auto"/>
          <w:lang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lang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20"/>
    <w:rsid w:val="00024972"/>
    <w:rsid w:val="0003769D"/>
    <w:rsid w:val="000A720F"/>
    <w:rsid w:val="000B4F1E"/>
    <w:rsid w:val="000C1793"/>
    <w:rsid w:val="000D7962"/>
    <w:rsid w:val="00114EF1"/>
    <w:rsid w:val="00163087"/>
    <w:rsid w:val="00173E69"/>
    <w:rsid w:val="001A1B44"/>
    <w:rsid w:val="001C7807"/>
    <w:rsid w:val="001D0567"/>
    <w:rsid w:val="001F2160"/>
    <w:rsid w:val="00215F0E"/>
    <w:rsid w:val="00223F4A"/>
    <w:rsid w:val="00255BB5"/>
    <w:rsid w:val="002B1939"/>
    <w:rsid w:val="00300EA9"/>
    <w:rsid w:val="00303CB9"/>
    <w:rsid w:val="00386851"/>
    <w:rsid w:val="003C744C"/>
    <w:rsid w:val="0044579A"/>
    <w:rsid w:val="00447A2F"/>
    <w:rsid w:val="004520CB"/>
    <w:rsid w:val="004920AD"/>
    <w:rsid w:val="004A6F20"/>
    <w:rsid w:val="00517B93"/>
    <w:rsid w:val="00517C4A"/>
    <w:rsid w:val="00550198"/>
    <w:rsid w:val="00553B2C"/>
    <w:rsid w:val="00574F1C"/>
    <w:rsid w:val="0058274F"/>
    <w:rsid w:val="00593B7F"/>
    <w:rsid w:val="005B3675"/>
    <w:rsid w:val="005E1BD7"/>
    <w:rsid w:val="006100A0"/>
    <w:rsid w:val="00610EF8"/>
    <w:rsid w:val="00614308"/>
    <w:rsid w:val="0067712C"/>
    <w:rsid w:val="006807F6"/>
    <w:rsid w:val="006B787C"/>
    <w:rsid w:val="0074734E"/>
    <w:rsid w:val="0076115F"/>
    <w:rsid w:val="00764C13"/>
    <w:rsid w:val="00784DFA"/>
    <w:rsid w:val="007A08EF"/>
    <w:rsid w:val="007F2B65"/>
    <w:rsid w:val="0080665B"/>
    <w:rsid w:val="0087754C"/>
    <w:rsid w:val="008E156C"/>
    <w:rsid w:val="009028C7"/>
    <w:rsid w:val="00912CCC"/>
    <w:rsid w:val="009651E8"/>
    <w:rsid w:val="00977EF6"/>
    <w:rsid w:val="00984092"/>
    <w:rsid w:val="009B044E"/>
    <w:rsid w:val="009B1C77"/>
    <w:rsid w:val="009C5B0C"/>
    <w:rsid w:val="009D4286"/>
    <w:rsid w:val="009F178E"/>
    <w:rsid w:val="00A37292"/>
    <w:rsid w:val="00A44C98"/>
    <w:rsid w:val="00A520DE"/>
    <w:rsid w:val="00A84DEA"/>
    <w:rsid w:val="00AE1CCE"/>
    <w:rsid w:val="00B202F6"/>
    <w:rsid w:val="00B44923"/>
    <w:rsid w:val="00B80543"/>
    <w:rsid w:val="00BC64C5"/>
    <w:rsid w:val="00BE2B10"/>
    <w:rsid w:val="00C425B7"/>
    <w:rsid w:val="00CC6B00"/>
    <w:rsid w:val="00D1017B"/>
    <w:rsid w:val="00D12EEF"/>
    <w:rsid w:val="00D171EA"/>
    <w:rsid w:val="00D25FFE"/>
    <w:rsid w:val="00D97F7E"/>
    <w:rsid w:val="00DA04BD"/>
    <w:rsid w:val="00DB3061"/>
    <w:rsid w:val="00E079E0"/>
    <w:rsid w:val="00E507DF"/>
    <w:rsid w:val="00E56B5A"/>
    <w:rsid w:val="00E77EEC"/>
    <w:rsid w:val="00EF379B"/>
    <w:rsid w:val="00F022A0"/>
    <w:rsid w:val="00F1657F"/>
    <w:rsid w:val="00F40DE5"/>
    <w:rsid w:val="00F64CD7"/>
    <w:rsid w:val="00F80083"/>
    <w:rsid w:val="00F94933"/>
    <w:rsid w:val="00FD507F"/>
    <w:rsid w:val="0F9FF42C"/>
    <w:rsid w:val="15E676C0"/>
    <w:rsid w:val="17AF37C0"/>
    <w:rsid w:val="253EA875"/>
    <w:rsid w:val="29AFB086"/>
    <w:rsid w:val="3FA66645"/>
    <w:rsid w:val="3FEB2C23"/>
    <w:rsid w:val="477FEE15"/>
    <w:rsid w:val="57ED52AC"/>
    <w:rsid w:val="58FF5B3F"/>
    <w:rsid w:val="5FD75926"/>
    <w:rsid w:val="5FDDE058"/>
    <w:rsid w:val="671CAD65"/>
    <w:rsid w:val="67FCEE0C"/>
    <w:rsid w:val="6FD75B99"/>
    <w:rsid w:val="6FFFE160"/>
    <w:rsid w:val="72FB3BB1"/>
    <w:rsid w:val="7537BD74"/>
    <w:rsid w:val="75BEDF9E"/>
    <w:rsid w:val="77FE40E7"/>
    <w:rsid w:val="7FE749B7"/>
    <w:rsid w:val="7FFE10F4"/>
    <w:rsid w:val="9BEA85C5"/>
    <w:rsid w:val="AFFAE296"/>
    <w:rsid w:val="B9FFE121"/>
    <w:rsid w:val="BBDD6ADE"/>
    <w:rsid w:val="BBFF94D3"/>
    <w:rsid w:val="BDFDFB4A"/>
    <w:rsid w:val="BEBF7D51"/>
    <w:rsid w:val="BF96BF08"/>
    <w:rsid w:val="CCFFF7E1"/>
    <w:rsid w:val="CF853944"/>
    <w:rsid w:val="D73B9036"/>
    <w:rsid w:val="DAFB06CD"/>
    <w:rsid w:val="DBFE0E60"/>
    <w:rsid w:val="DDBD0E1E"/>
    <w:rsid w:val="DE291104"/>
    <w:rsid w:val="E9B7FE9C"/>
    <w:rsid w:val="F0D7D11A"/>
    <w:rsid w:val="F5DBD1AD"/>
    <w:rsid w:val="FB9E0322"/>
    <w:rsid w:val="FEBD6628"/>
    <w:rsid w:val="FF2BAB2B"/>
    <w:rsid w:val="FF2FA532"/>
    <w:rsid w:val="FF7E4E1A"/>
    <w:rsid w:val="FFAF078E"/>
    <w:rsid w:val="FFBC1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heme="minorHAnsi" w:hAnsiTheme="minorHAnsi" w:eastAsiaTheme="minorEastAsia" w:cstheme="minorBidi"/>
      <w:sz w:val="22"/>
      <w:szCs w:val="22"/>
      <w:lang w:val="en-US" w:eastAsia="en-US" w:bidi="en-US"/>
    </w:rPr>
  </w:style>
  <w:style w:type="paragraph" w:styleId="2">
    <w:name w:val="heading 1"/>
    <w:basedOn w:val="1"/>
    <w:next w:val="1"/>
    <w:link w:val="23"/>
    <w:qFormat/>
    <w:uiPriority w:val="9"/>
    <w:pPr>
      <w:pBdr>
        <w:bottom w:val="single" w:color="366091" w:themeColor="accent1" w:themeShade="BF" w:sz="12" w:space="1"/>
      </w:pBdr>
      <w:spacing w:before="600" w:after="80"/>
      <w:ind w:firstLine="0"/>
      <w:outlineLvl w:val="0"/>
    </w:pPr>
    <w:rPr>
      <w:rFonts w:asciiTheme="majorHAnsi" w:hAnsiTheme="majorHAnsi" w:eastAsiaTheme="majorEastAsia" w:cstheme="majorBidi"/>
      <w:b/>
      <w:bCs/>
      <w:color w:val="376092" w:themeColor="accent1" w:themeShade="BF"/>
      <w:sz w:val="24"/>
      <w:szCs w:val="24"/>
    </w:rPr>
  </w:style>
  <w:style w:type="paragraph" w:styleId="3">
    <w:name w:val="heading 2"/>
    <w:basedOn w:val="1"/>
    <w:next w:val="1"/>
    <w:link w:val="24"/>
    <w:semiHidden/>
    <w:unhideWhenUsed/>
    <w:qFormat/>
    <w:uiPriority w:val="9"/>
    <w:pPr>
      <w:pBdr>
        <w:bottom w:val="single" w:color="4F81BD" w:themeColor="accent1" w:sz="8" w:space="1"/>
      </w:pBdr>
      <w:spacing w:before="200" w:after="80"/>
      <w:ind w:firstLine="0"/>
      <w:outlineLvl w:val="1"/>
    </w:pPr>
    <w:rPr>
      <w:rFonts w:asciiTheme="majorHAnsi" w:hAnsiTheme="majorHAnsi" w:eastAsiaTheme="majorEastAsia" w:cstheme="majorBidi"/>
      <w:color w:val="376092" w:themeColor="accent1" w:themeShade="BF"/>
      <w:sz w:val="24"/>
      <w:szCs w:val="24"/>
    </w:rPr>
  </w:style>
  <w:style w:type="paragraph" w:styleId="4">
    <w:name w:val="heading 3"/>
    <w:basedOn w:val="1"/>
    <w:next w:val="1"/>
    <w:link w:val="25"/>
    <w:semiHidden/>
    <w:unhideWhenUsed/>
    <w:qFormat/>
    <w:uiPriority w:val="9"/>
    <w:pPr>
      <w:pBdr>
        <w:bottom w:val="single" w:color="95B3D7" w:themeColor="accent1" w:themeTint="99" w:sz="4" w:space="1"/>
      </w:pBdr>
      <w:spacing w:before="200" w:after="80"/>
      <w:ind w:firstLine="0"/>
      <w:outlineLvl w:val="2"/>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5">
    <w:name w:val="heading 4"/>
    <w:basedOn w:val="1"/>
    <w:next w:val="1"/>
    <w:link w:val="26"/>
    <w:semiHidden/>
    <w:unhideWhenUsed/>
    <w:qFormat/>
    <w:uiPriority w:val="9"/>
    <w:pPr>
      <w:pBdr>
        <w:bottom w:val="single" w:color="B8CCE4" w:themeColor="accent1" w:themeTint="66" w:sz="4" w:space="2"/>
      </w:pBdr>
      <w:spacing w:before="200" w:after="80"/>
      <w:ind w:firstLine="0"/>
      <w:outlineLvl w:val="3"/>
    </w:pPr>
    <w:rPr>
      <w:rFonts w:asciiTheme="majorHAnsi" w:hAnsiTheme="majorHAnsi" w:eastAsiaTheme="majorEastAsia" w:cstheme="majorBidi"/>
      <w:i/>
      <w:iCs/>
      <w:color w:val="4F81BD" w:themeColor="accent1"/>
      <w:sz w:val="24"/>
      <w:szCs w:val="24"/>
      <w14:textFill>
        <w14:solidFill>
          <w14:schemeClr w14:val="accent1"/>
        </w14:solidFill>
      </w14:textFill>
    </w:rPr>
  </w:style>
  <w:style w:type="paragraph" w:styleId="6">
    <w:name w:val="heading 5"/>
    <w:basedOn w:val="1"/>
    <w:next w:val="1"/>
    <w:link w:val="27"/>
    <w:semiHidden/>
    <w:unhideWhenUsed/>
    <w:qFormat/>
    <w:uiPriority w:val="9"/>
    <w:pPr>
      <w:spacing w:before="200" w:after="80"/>
      <w:ind w:firstLine="0"/>
      <w:outlineLvl w:val="4"/>
    </w:pPr>
    <w:rPr>
      <w:rFonts w:asciiTheme="majorHAnsi" w:hAnsiTheme="majorHAnsi" w:eastAsiaTheme="majorEastAsia" w:cstheme="majorBidi"/>
      <w:color w:val="4F81BD" w:themeColor="accent1"/>
      <w14:textFill>
        <w14:solidFill>
          <w14:schemeClr w14:val="accent1"/>
        </w14:solidFill>
      </w14:textFill>
    </w:rPr>
  </w:style>
  <w:style w:type="paragraph" w:styleId="7">
    <w:name w:val="heading 6"/>
    <w:basedOn w:val="1"/>
    <w:next w:val="1"/>
    <w:link w:val="28"/>
    <w:semiHidden/>
    <w:unhideWhenUsed/>
    <w:qFormat/>
    <w:uiPriority w:val="9"/>
    <w:pPr>
      <w:spacing w:before="280" w:after="100"/>
      <w:ind w:firstLine="0"/>
      <w:outlineLvl w:val="5"/>
    </w:pPr>
    <w:rPr>
      <w:rFonts w:asciiTheme="majorHAnsi" w:hAnsiTheme="majorHAnsi" w:eastAsiaTheme="majorEastAsia" w:cstheme="majorBidi"/>
      <w:i/>
      <w:iCs/>
      <w:color w:val="4F81BD" w:themeColor="accent1"/>
      <w14:textFill>
        <w14:solidFill>
          <w14:schemeClr w14:val="accent1"/>
        </w14:solidFill>
      </w14:textFill>
    </w:rPr>
  </w:style>
  <w:style w:type="paragraph" w:styleId="8">
    <w:name w:val="heading 7"/>
    <w:basedOn w:val="1"/>
    <w:next w:val="1"/>
    <w:link w:val="29"/>
    <w:semiHidden/>
    <w:unhideWhenUsed/>
    <w:qFormat/>
    <w:uiPriority w:val="9"/>
    <w:pPr>
      <w:spacing w:before="320" w:after="100"/>
      <w:ind w:firstLine="0"/>
      <w:outlineLvl w:val="6"/>
    </w:pPr>
    <w:rPr>
      <w:rFonts w:asciiTheme="majorHAnsi" w:hAnsiTheme="majorHAnsi" w:eastAsiaTheme="majorEastAsia" w:cstheme="majorBidi"/>
      <w:b/>
      <w:bCs/>
      <w:color w:val="9BBB59" w:themeColor="accent3"/>
      <w:sz w:val="20"/>
      <w:szCs w:val="20"/>
      <w14:textFill>
        <w14:solidFill>
          <w14:schemeClr w14:val="accent3"/>
        </w14:solidFill>
      </w14:textFill>
    </w:rPr>
  </w:style>
  <w:style w:type="paragraph" w:styleId="9">
    <w:name w:val="heading 8"/>
    <w:basedOn w:val="1"/>
    <w:next w:val="1"/>
    <w:link w:val="30"/>
    <w:semiHidden/>
    <w:unhideWhenUsed/>
    <w:qFormat/>
    <w:uiPriority w:val="9"/>
    <w:pPr>
      <w:spacing w:before="320" w:after="100"/>
      <w:ind w:firstLine="0"/>
      <w:outlineLvl w:val="7"/>
    </w:pPr>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paragraph" w:styleId="10">
    <w:name w:val="heading 9"/>
    <w:basedOn w:val="1"/>
    <w:next w:val="1"/>
    <w:link w:val="31"/>
    <w:semiHidden/>
    <w:unhideWhenUsed/>
    <w:qFormat/>
    <w:uiPriority w:val="9"/>
    <w:pPr>
      <w:spacing w:before="320" w:after="100"/>
      <w:ind w:firstLine="0"/>
      <w:outlineLvl w:val="8"/>
    </w:pPr>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sz w:val="18"/>
      <w:szCs w:val="18"/>
    </w:rPr>
  </w:style>
  <w:style w:type="paragraph" w:styleId="12">
    <w:name w:val="Balloon Text"/>
    <w:basedOn w:val="1"/>
    <w:link w:val="50"/>
    <w:semiHidden/>
    <w:unhideWhenUsed/>
    <w:qFormat/>
    <w:uiPriority w:val="99"/>
    <w:rPr>
      <w:sz w:val="18"/>
      <w:szCs w:val="18"/>
    </w:rPr>
  </w:style>
  <w:style w:type="paragraph" w:styleId="13">
    <w:name w:val="footer"/>
    <w:basedOn w:val="1"/>
    <w:link w:val="49"/>
    <w:unhideWhenUsed/>
    <w:qFormat/>
    <w:uiPriority w:val="99"/>
    <w:pPr>
      <w:tabs>
        <w:tab w:val="center" w:pos="4153"/>
        <w:tab w:val="right" w:pos="8306"/>
      </w:tabs>
      <w:snapToGrid w:val="0"/>
    </w:pPr>
    <w:rPr>
      <w:sz w:val="18"/>
      <w:szCs w:val="18"/>
    </w:rPr>
  </w:style>
  <w:style w:type="paragraph" w:styleId="14">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3"/>
    <w:qFormat/>
    <w:uiPriority w:val="11"/>
    <w:pPr>
      <w:spacing w:before="200" w:after="900"/>
      <w:ind w:firstLine="0"/>
      <w:jc w:val="right"/>
    </w:pPr>
    <w:rPr>
      <w:i/>
      <w:iCs/>
      <w:sz w:val="24"/>
      <w:szCs w:val="24"/>
    </w:rPr>
  </w:style>
  <w:style w:type="paragraph" w:styleId="1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bidi="ar-SA"/>
    </w:rPr>
  </w:style>
  <w:style w:type="paragraph" w:styleId="17">
    <w:name w:val="Normal (Web)"/>
    <w:basedOn w:val="1"/>
    <w:semiHidden/>
    <w:unhideWhenUsed/>
    <w:qFormat/>
    <w:uiPriority w:val="99"/>
    <w:pPr>
      <w:spacing w:before="100" w:beforeAutospacing="1" w:after="100" w:afterAutospacing="1"/>
      <w:ind w:firstLine="0"/>
    </w:pPr>
    <w:rPr>
      <w:rFonts w:ascii="宋体" w:hAnsi="宋体" w:eastAsia="宋体" w:cs="宋体"/>
      <w:sz w:val="24"/>
      <w:szCs w:val="24"/>
      <w:lang w:eastAsia="zh-CN" w:bidi="ar-SA"/>
    </w:rPr>
  </w:style>
  <w:style w:type="paragraph" w:styleId="18">
    <w:name w:val="Title"/>
    <w:basedOn w:val="1"/>
    <w:next w:val="1"/>
    <w:link w:val="32"/>
    <w:qFormat/>
    <w:uiPriority w:val="10"/>
    <w:pPr>
      <w:pBdr>
        <w:top w:val="single" w:color="A7C0DE" w:themeColor="accent1" w:themeTint="7F" w:sz="8" w:space="10"/>
        <w:bottom w:val="single" w:color="9BBB59" w:themeColor="accent3" w:sz="24" w:space="15"/>
      </w:pBdr>
      <w:ind w:firstLine="0"/>
      <w:jc w:val="center"/>
    </w:pPr>
    <w:rPr>
      <w:rFonts w:asciiTheme="majorHAnsi" w:hAnsiTheme="majorHAnsi" w:eastAsiaTheme="majorEastAsia" w:cstheme="majorBidi"/>
      <w:i/>
      <w:iCs/>
      <w:color w:val="254061" w:themeColor="accent1" w:themeShade="80"/>
      <w:sz w:val="60"/>
      <w:szCs w:val="60"/>
    </w:rPr>
  </w:style>
  <w:style w:type="character" w:styleId="21">
    <w:name w:val="Strong"/>
    <w:basedOn w:val="20"/>
    <w:qFormat/>
    <w:uiPriority w:val="22"/>
    <w:rPr>
      <w:b/>
      <w:bCs/>
      <w:spacing w:val="0"/>
    </w:rPr>
  </w:style>
  <w:style w:type="character" w:styleId="22">
    <w:name w:val="Emphasis"/>
    <w:qFormat/>
    <w:uiPriority w:val="20"/>
    <w:rPr>
      <w:b/>
      <w:bCs/>
      <w:i/>
      <w:iCs/>
      <w:color w:val="595959" w:themeColor="text1" w:themeTint="A6"/>
      <w14:textFill>
        <w14:solidFill>
          <w14:schemeClr w14:val="tx1">
            <w14:lumMod w14:val="65000"/>
            <w14:lumOff w14:val="35000"/>
          </w14:schemeClr>
        </w14:solidFill>
      </w14:textFill>
    </w:rPr>
  </w:style>
  <w:style w:type="character" w:customStyle="1" w:styleId="23">
    <w:name w:val="标题 1 Char"/>
    <w:basedOn w:val="20"/>
    <w:link w:val="2"/>
    <w:qFormat/>
    <w:uiPriority w:val="9"/>
    <w:rPr>
      <w:rFonts w:asciiTheme="majorHAnsi" w:hAnsiTheme="majorHAnsi" w:eastAsiaTheme="majorEastAsia" w:cstheme="majorBidi"/>
      <w:b/>
      <w:bCs/>
      <w:color w:val="376092" w:themeColor="accent1" w:themeShade="BF"/>
      <w:sz w:val="24"/>
      <w:szCs w:val="24"/>
    </w:rPr>
  </w:style>
  <w:style w:type="character" w:customStyle="1" w:styleId="24">
    <w:name w:val="标题 2 Char"/>
    <w:basedOn w:val="20"/>
    <w:link w:val="3"/>
    <w:semiHidden/>
    <w:qFormat/>
    <w:uiPriority w:val="9"/>
    <w:rPr>
      <w:rFonts w:asciiTheme="majorHAnsi" w:hAnsiTheme="majorHAnsi" w:eastAsiaTheme="majorEastAsia" w:cstheme="majorBidi"/>
      <w:color w:val="376092" w:themeColor="accent1" w:themeShade="BF"/>
      <w:sz w:val="24"/>
      <w:szCs w:val="24"/>
    </w:rPr>
  </w:style>
  <w:style w:type="character" w:customStyle="1" w:styleId="25">
    <w:name w:val="标题 3 Char"/>
    <w:basedOn w:val="20"/>
    <w:link w:val="4"/>
    <w:semiHidden/>
    <w:qFormat/>
    <w:uiPriority w:val="9"/>
    <w:rPr>
      <w:rFonts w:asciiTheme="majorHAnsi" w:hAnsiTheme="majorHAnsi" w:eastAsiaTheme="majorEastAsia" w:cstheme="majorBidi"/>
      <w:color w:val="4F81BD" w:themeColor="accent1"/>
      <w:sz w:val="24"/>
      <w:szCs w:val="24"/>
      <w14:textFill>
        <w14:solidFill>
          <w14:schemeClr w14:val="accent1"/>
        </w14:solidFill>
      </w14:textFill>
    </w:rPr>
  </w:style>
  <w:style w:type="character" w:customStyle="1" w:styleId="26">
    <w:name w:val="标题 4 Char"/>
    <w:basedOn w:val="20"/>
    <w:link w:val="5"/>
    <w:semiHidden/>
    <w:qFormat/>
    <w:uiPriority w:val="9"/>
    <w:rPr>
      <w:rFonts w:asciiTheme="majorHAnsi" w:hAnsiTheme="majorHAnsi" w:eastAsiaTheme="majorEastAsia" w:cstheme="majorBidi"/>
      <w:i/>
      <w:iCs/>
      <w:color w:val="4F81BD" w:themeColor="accent1"/>
      <w:sz w:val="24"/>
      <w:szCs w:val="24"/>
      <w14:textFill>
        <w14:solidFill>
          <w14:schemeClr w14:val="accent1"/>
        </w14:solidFill>
      </w14:textFill>
    </w:rPr>
  </w:style>
  <w:style w:type="character" w:customStyle="1" w:styleId="27">
    <w:name w:val="标题 5 Char"/>
    <w:basedOn w:val="20"/>
    <w:link w:val="6"/>
    <w:semiHidden/>
    <w:qFormat/>
    <w:uiPriority w:val="9"/>
    <w:rPr>
      <w:rFonts w:asciiTheme="majorHAnsi" w:hAnsiTheme="majorHAnsi" w:eastAsiaTheme="majorEastAsia" w:cstheme="majorBidi"/>
      <w:color w:val="4F81BD" w:themeColor="accent1"/>
      <w14:textFill>
        <w14:solidFill>
          <w14:schemeClr w14:val="accent1"/>
        </w14:solidFill>
      </w14:textFill>
    </w:rPr>
  </w:style>
  <w:style w:type="character" w:customStyle="1" w:styleId="28">
    <w:name w:val="标题 6 Char"/>
    <w:basedOn w:val="20"/>
    <w:link w:val="7"/>
    <w:semiHidden/>
    <w:qFormat/>
    <w:uiPriority w:val="9"/>
    <w:rPr>
      <w:rFonts w:asciiTheme="majorHAnsi" w:hAnsiTheme="majorHAnsi" w:eastAsiaTheme="majorEastAsia" w:cstheme="majorBidi"/>
      <w:i/>
      <w:iCs/>
      <w:color w:val="4F81BD" w:themeColor="accent1"/>
      <w14:textFill>
        <w14:solidFill>
          <w14:schemeClr w14:val="accent1"/>
        </w14:solidFill>
      </w14:textFill>
    </w:rPr>
  </w:style>
  <w:style w:type="character" w:customStyle="1" w:styleId="29">
    <w:name w:val="标题 7 Char"/>
    <w:basedOn w:val="20"/>
    <w:link w:val="8"/>
    <w:semiHidden/>
    <w:qFormat/>
    <w:uiPriority w:val="9"/>
    <w:rPr>
      <w:rFonts w:asciiTheme="majorHAnsi" w:hAnsiTheme="majorHAnsi" w:eastAsiaTheme="majorEastAsia" w:cstheme="majorBidi"/>
      <w:b/>
      <w:bCs/>
      <w:color w:val="9BBB59" w:themeColor="accent3"/>
      <w:sz w:val="20"/>
      <w:szCs w:val="20"/>
      <w14:textFill>
        <w14:solidFill>
          <w14:schemeClr w14:val="accent3"/>
        </w14:solidFill>
      </w14:textFill>
    </w:rPr>
  </w:style>
  <w:style w:type="character" w:customStyle="1" w:styleId="30">
    <w:name w:val="标题 8 Char"/>
    <w:basedOn w:val="20"/>
    <w:link w:val="9"/>
    <w:semiHidden/>
    <w:qFormat/>
    <w:uiPriority w:val="9"/>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character" w:customStyle="1" w:styleId="31">
    <w:name w:val="标题 9 Char"/>
    <w:basedOn w:val="20"/>
    <w:link w:val="10"/>
    <w:semiHidden/>
    <w:qFormat/>
    <w:uiPriority w:val="9"/>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customStyle="1" w:styleId="32">
    <w:name w:val="标题 Char"/>
    <w:basedOn w:val="20"/>
    <w:link w:val="18"/>
    <w:qFormat/>
    <w:uiPriority w:val="10"/>
    <w:rPr>
      <w:rFonts w:asciiTheme="majorHAnsi" w:hAnsiTheme="majorHAnsi" w:eastAsiaTheme="majorEastAsia" w:cstheme="majorBidi"/>
      <w:i/>
      <w:iCs/>
      <w:color w:val="254061" w:themeColor="accent1" w:themeShade="80"/>
      <w:sz w:val="60"/>
      <w:szCs w:val="60"/>
    </w:rPr>
  </w:style>
  <w:style w:type="character" w:customStyle="1" w:styleId="33">
    <w:name w:val="副标题 Char"/>
    <w:basedOn w:val="20"/>
    <w:link w:val="15"/>
    <w:qFormat/>
    <w:uiPriority w:val="11"/>
    <w:rPr>
      <w:rFonts w:asciiTheme="minorHAnsi"/>
      <w:i/>
      <w:iCs/>
      <w:sz w:val="24"/>
      <w:szCs w:val="24"/>
    </w:rPr>
  </w:style>
  <w:style w:type="paragraph" w:styleId="34">
    <w:name w:val="No Spacing"/>
    <w:basedOn w:val="1"/>
    <w:link w:val="35"/>
    <w:qFormat/>
    <w:uiPriority w:val="1"/>
    <w:pPr>
      <w:ind w:firstLine="0"/>
    </w:pPr>
  </w:style>
  <w:style w:type="character" w:customStyle="1" w:styleId="35">
    <w:name w:val="无间隔 Char"/>
    <w:basedOn w:val="20"/>
    <w:link w:val="34"/>
    <w:qFormat/>
    <w:uiPriority w:val="1"/>
  </w:style>
  <w:style w:type="paragraph" w:styleId="36">
    <w:name w:val="List Paragraph"/>
    <w:basedOn w:val="1"/>
    <w:qFormat/>
    <w:uiPriority w:val="34"/>
    <w:pPr>
      <w:ind w:left="720"/>
      <w:contextualSpacing/>
    </w:pPr>
  </w:style>
  <w:style w:type="paragraph" w:styleId="37">
    <w:name w:val="Quote"/>
    <w:basedOn w:val="1"/>
    <w:next w:val="1"/>
    <w:link w:val="38"/>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38">
    <w:name w:val="引用 Char"/>
    <w:basedOn w:val="20"/>
    <w:link w:val="37"/>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39">
    <w:name w:val="Intense Quote"/>
    <w:basedOn w:val="1"/>
    <w:next w:val="1"/>
    <w:link w:val="40"/>
    <w:qFormat/>
    <w:uiPriority w:val="30"/>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14:textFill>
        <w14:solidFill>
          <w14:schemeClr w14:val="bg1"/>
        </w14:solidFill>
      </w14:textFill>
    </w:rPr>
  </w:style>
  <w:style w:type="character" w:customStyle="1" w:styleId="40">
    <w:name w:val="明显引用 Char"/>
    <w:basedOn w:val="20"/>
    <w:link w:val="39"/>
    <w:qFormat/>
    <w:uiPriority w:val="30"/>
    <w:rPr>
      <w:rFonts w:asciiTheme="majorHAnsi" w:hAnsiTheme="majorHAnsi" w:eastAsiaTheme="majorEastAsia" w:cstheme="majorBidi"/>
      <w:i/>
      <w:iCs/>
      <w:color w:val="FFFFFF" w:themeColor="background1"/>
      <w:sz w:val="24"/>
      <w:szCs w:val="24"/>
      <w:shd w:val="clear" w:color="auto" w:fill="4F81BD" w:themeFill="accent1"/>
      <w14:textFill>
        <w14:solidFill>
          <w14:schemeClr w14:val="bg1"/>
        </w14:solidFill>
      </w14:textFill>
    </w:rPr>
  </w:style>
  <w:style w:type="character" w:customStyle="1" w:styleId="41">
    <w:name w:val="不明显强调1"/>
    <w:qFormat/>
    <w:uiPriority w:val="19"/>
    <w:rPr>
      <w:i/>
      <w:iCs/>
      <w:color w:val="595959" w:themeColor="text1" w:themeTint="A6"/>
      <w14:textFill>
        <w14:solidFill>
          <w14:schemeClr w14:val="tx1">
            <w14:lumMod w14:val="65000"/>
            <w14:lumOff w14:val="35000"/>
          </w14:schemeClr>
        </w14:solidFill>
      </w14:textFill>
    </w:rPr>
  </w:style>
  <w:style w:type="character" w:customStyle="1" w:styleId="42">
    <w:name w:val="明显强调1"/>
    <w:qFormat/>
    <w:uiPriority w:val="21"/>
    <w:rPr>
      <w:b/>
      <w:bCs/>
      <w:i/>
      <w:iCs/>
      <w:color w:val="4F81BD" w:themeColor="accent1"/>
      <w:sz w:val="22"/>
      <w:szCs w:val="22"/>
      <w14:textFill>
        <w14:solidFill>
          <w14:schemeClr w14:val="accent1"/>
        </w14:solidFill>
      </w14:textFill>
    </w:rPr>
  </w:style>
  <w:style w:type="character" w:customStyle="1" w:styleId="43">
    <w:name w:val="不明显参考1"/>
    <w:qFormat/>
    <w:uiPriority w:val="31"/>
    <w:rPr>
      <w:color w:val="auto"/>
      <w:u w:val="single" w:color="9BBB59" w:themeColor="accent3"/>
    </w:rPr>
  </w:style>
  <w:style w:type="character" w:customStyle="1" w:styleId="44">
    <w:name w:val="明显参考1"/>
    <w:basedOn w:val="20"/>
    <w:qFormat/>
    <w:uiPriority w:val="32"/>
    <w:rPr>
      <w:b/>
      <w:bCs/>
      <w:color w:val="77933C" w:themeColor="accent3" w:themeShade="BF"/>
      <w:u w:val="single" w:color="9BBB59" w:themeColor="accent3"/>
    </w:rPr>
  </w:style>
  <w:style w:type="character" w:customStyle="1" w:styleId="45">
    <w:name w:val="书籍标题1"/>
    <w:basedOn w:val="20"/>
    <w:qFormat/>
    <w:uiPriority w:val="33"/>
    <w:rPr>
      <w:rFonts w:asciiTheme="majorHAnsi" w:hAnsiTheme="majorHAnsi" w:eastAsiaTheme="majorEastAsia" w:cstheme="majorBidi"/>
      <w:b/>
      <w:bCs/>
      <w:i/>
      <w:iCs/>
      <w:color w:val="auto"/>
    </w:rPr>
  </w:style>
  <w:style w:type="paragraph" w:customStyle="1" w:styleId="46">
    <w:name w:val="TOC 标题1"/>
    <w:basedOn w:val="2"/>
    <w:next w:val="1"/>
    <w:semiHidden/>
    <w:unhideWhenUsed/>
    <w:qFormat/>
    <w:uiPriority w:val="39"/>
    <w:pPr>
      <w:outlineLvl w:val="9"/>
    </w:pPr>
  </w:style>
  <w:style w:type="paragraph" w:customStyle="1" w:styleId="47">
    <w:name w:val="paragraph"/>
    <w:basedOn w:val="1"/>
    <w:qFormat/>
    <w:uiPriority w:val="0"/>
    <w:pPr>
      <w:spacing w:before="100" w:beforeAutospacing="1" w:after="100" w:afterAutospacing="1"/>
      <w:ind w:firstLine="0"/>
    </w:pPr>
    <w:rPr>
      <w:rFonts w:ascii="宋体" w:hAnsi="宋体" w:eastAsia="宋体" w:cs="宋体"/>
      <w:sz w:val="24"/>
      <w:szCs w:val="24"/>
      <w:lang w:eastAsia="zh-CN" w:bidi="ar-SA"/>
    </w:rPr>
  </w:style>
  <w:style w:type="character" w:customStyle="1" w:styleId="48">
    <w:name w:val="页眉 Char"/>
    <w:basedOn w:val="20"/>
    <w:link w:val="14"/>
    <w:qFormat/>
    <w:uiPriority w:val="99"/>
    <w:rPr>
      <w:rFonts w:asciiTheme="minorHAnsi" w:hAnsiTheme="minorHAnsi" w:eastAsiaTheme="minorEastAsia" w:cstheme="minorBidi"/>
      <w:sz w:val="18"/>
      <w:szCs w:val="18"/>
      <w:lang w:eastAsia="en-US" w:bidi="en-US"/>
    </w:rPr>
  </w:style>
  <w:style w:type="character" w:customStyle="1" w:styleId="49">
    <w:name w:val="页脚 Char"/>
    <w:basedOn w:val="20"/>
    <w:link w:val="13"/>
    <w:qFormat/>
    <w:uiPriority w:val="99"/>
    <w:rPr>
      <w:rFonts w:asciiTheme="minorHAnsi" w:hAnsiTheme="minorHAnsi" w:eastAsiaTheme="minorEastAsia" w:cstheme="minorBidi"/>
      <w:sz w:val="18"/>
      <w:szCs w:val="18"/>
      <w:lang w:eastAsia="en-US" w:bidi="en-US"/>
    </w:rPr>
  </w:style>
  <w:style w:type="character" w:customStyle="1" w:styleId="50">
    <w:name w:val="批注框文本 Char"/>
    <w:basedOn w:val="20"/>
    <w:link w:val="12"/>
    <w:semiHidden/>
    <w:qFormat/>
    <w:uiPriority w:val="99"/>
    <w:rPr>
      <w:rFonts w:asciiTheme="minorHAnsi" w:hAnsiTheme="minorHAnsi" w:eastAsiaTheme="minorEastAsia" w:cstheme="minorBidi"/>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4454</Words>
  <Characters>4678</Characters>
  <Lines>334</Lines>
  <Paragraphs>246</Paragraphs>
  <TotalTime>307</TotalTime>
  <ScaleCrop>false</ScaleCrop>
  <LinksUpToDate>false</LinksUpToDate>
  <CharactersWithSpaces>8886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2022-06-11T18:32:00Z</dcterms:created>
  <dc:creator>匿名用户</dc:creator>
  <cp:lastModifiedBy>huanghe</cp:lastModifiedBy>
  <cp:lastPrinted>2022-06-18T02:14:00Z</cp:lastPrinted>
  <dcterms:modified xsi:type="dcterms:W3CDTF">2022-07-14T15:14:22Z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